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63A3E" w14:textId="77777777" w:rsidR="0001240D" w:rsidRPr="00FC1EE3" w:rsidRDefault="0001240D" w:rsidP="00FC1EE3">
      <w:pPr>
        <w:spacing w:after="0" w:line="240" w:lineRule="auto"/>
        <w:rPr>
          <w:rFonts w:ascii="Roboto" w:eastAsia="Times New Roman" w:hAnsi="Roboto" w:cs="Times New Roman"/>
          <w:b/>
          <w:bCs/>
          <w:lang w:eastAsia="ro-MD"/>
        </w:rPr>
      </w:pPr>
    </w:p>
    <w:p w14:paraId="6EF50F2E" w14:textId="4F5B5484" w:rsidR="00070393" w:rsidRPr="00FC1EE3" w:rsidRDefault="00170E8C" w:rsidP="00FC1EE3">
      <w:pPr>
        <w:spacing w:after="0" w:line="240" w:lineRule="auto"/>
        <w:rPr>
          <w:rFonts w:ascii="Roboto" w:eastAsia="Times New Roman" w:hAnsi="Roboto" w:cs="Times New Roman"/>
          <w:b/>
          <w:bCs/>
          <w:lang w:eastAsia="ro-MD"/>
        </w:rPr>
      </w:pPr>
      <w:r w:rsidRPr="00FC1EE3">
        <w:rPr>
          <w:rFonts w:ascii="Roboto" w:eastAsia="Times New Roman" w:hAnsi="Roboto" w:cs="Times New Roman"/>
          <w:b/>
          <w:bCs/>
          <w:lang w:eastAsia="ro-MD"/>
        </w:rPr>
        <w:t xml:space="preserve">________ </w:t>
      </w:r>
      <w:r w:rsidR="00070393" w:rsidRPr="00FC1EE3">
        <w:rPr>
          <w:rFonts w:ascii="Roboto" w:eastAsia="Times New Roman" w:hAnsi="Roboto" w:cs="Times New Roman"/>
          <w:b/>
          <w:bCs/>
          <w:lang w:eastAsia="ro-MD"/>
        </w:rPr>
        <w:t>din</w:t>
      </w:r>
      <w:r w:rsidR="00E86443" w:rsidRPr="00FC1EE3">
        <w:rPr>
          <w:rFonts w:ascii="Roboto" w:eastAsia="Times New Roman" w:hAnsi="Roboto" w:cs="Times New Roman"/>
          <w:b/>
          <w:bCs/>
          <w:lang w:eastAsia="ro-MD"/>
        </w:rPr>
        <w:t xml:space="preserve"> </w:t>
      </w:r>
      <w:r w:rsidRPr="00FC1EE3">
        <w:rPr>
          <w:rFonts w:ascii="Roboto" w:eastAsia="Times New Roman" w:hAnsi="Roboto" w:cs="Times New Roman"/>
          <w:b/>
          <w:bCs/>
          <w:lang w:eastAsia="ro-MD"/>
        </w:rPr>
        <w:t>_______________</w:t>
      </w:r>
    </w:p>
    <w:p w14:paraId="6A7F1F7B" w14:textId="77777777" w:rsidR="00070393" w:rsidRPr="00FC1EE3" w:rsidRDefault="00070393" w:rsidP="00FC1EE3">
      <w:pPr>
        <w:spacing w:after="0" w:line="240" w:lineRule="auto"/>
        <w:jc w:val="right"/>
        <w:rPr>
          <w:rFonts w:ascii="Roboto" w:eastAsia="Times New Roman" w:hAnsi="Roboto" w:cs="Times New Roman"/>
          <w:b/>
          <w:bCs/>
          <w:i/>
          <w:iCs/>
          <w:lang w:eastAsia="ro-MD"/>
        </w:rPr>
      </w:pPr>
      <w:r w:rsidRPr="00FC1EE3">
        <w:rPr>
          <w:rFonts w:ascii="Roboto" w:eastAsia="Times New Roman" w:hAnsi="Roboto" w:cs="Times New Roman"/>
          <w:b/>
          <w:bCs/>
          <w:i/>
          <w:iCs/>
          <w:lang w:eastAsia="ro-MD"/>
        </w:rPr>
        <w:t>Membrilor Comitetului executiv al</w:t>
      </w:r>
    </w:p>
    <w:p w14:paraId="18A24CC9" w14:textId="29E7A779" w:rsidR="00070393" w:rsidRPr="00FC1EE3" w:rsidRDefault="00070393" w:rsidP="00FC1EE3">
      <w:pPr>
        <w:spacing w:after="0" w:line="240" w:lineRule="auto"/>
        <w:jc w:val="right"/>
        <w:rPr>
          <w:rFonts w:ascii="Roboto" w:eastAsia="Times New Roman" w:hAnsi="Roboto" w:cs="Times New Roman"/>
          <w:b/>
          <w:bCs/>
          <w:i/>
          <w:iCs/>
          <w:lang w:eastAsia="ro-MD"/>
        </w:rPr>
      </w:pPr>
      <w:r w:rsidRPr="00FC1EE3">
        <w:rPr>
          <w:rFonts w:ascii="Roboto" w:eastAsia="Times New Roman" w:hAnsi="Roboto" w:cs="Times New Roman"/>
          <w:b/>
          <w:bCs/>
          <w:i/>
          <w:iCs/>
          <w:lang w:eastAsia="ro-MD"/>
        </w:rPr>
        <w:t>Băncii Naționale a Moldovei</w:t>
      </w:r>
    </w:p>
    <w:p w14:paraId="2A318165" w14:textId="77777777" w:rsidR="00070393" w:rsidRPr="00FC1EE3" w:rsidRDefault="00070393" w:rsidP="00FC1EE3">
      <w:pPr>
        <w:spacing w:after="0" w:line="240" w:lineRule="auto"/>
        <w:jc w:val="center"/>
        <w:rPr>
          <w:rFonts w:ascii="Roboto" w:eastAsia="Times New Roman" w:hAnsi="Roboto" w:cs="Times New Roman"/>
          <w:b/>
          <w:bCs/>
          <w:lang w:eastAsia="ro-MD"/>
        </w:rPr>
      </w:pPr>
    </w:p>
    <w:p w14:paraId="048BA173" w14:textId="77777777" w:rsidR="00665D82" w:rsidRPr="00FC1EE3" w:rsidRDefault="00665D82" w:rsidP="00FC1EE3">
      <w:pPr>
        <w:spacing w:after="0" w:line="240" w:lineRule="auto"/>
        <w:jc w:val="center"/>
        <w:rPr>
          <w:rFonts w:ascii="Roboto" w:eastAsia="Times New Roman" w:hAnsi="Roboto" w:cs="Times New Roman"/>
          <w:b/>
          <w:bCs/>
          <w:lang w:eastAsia="ro-MD"/>
        </w:rPr>
      </w:pPr>
    </w:p>
    <w:p w14:paraId="51EE9175" w14:textId="756641BE" w:rsidR="00F04E3E" w:rsidRPr="00FC1EE3" w:rsidRDefault="00F04E3E" w:rsidP="00FC1EE3">
      <w:pPr>
        <w:spacing w:after="0" w:line="240" w:lineRule="auto"/>
        <w:jc w:val="center"/>
        <w:rPr>
          <w:rFonts w:ascii="Roboto" w:eastAsia="Times New Roman" w:hAnsi="Roboto" w:cs="Times New Roman"/>
          <w:b/>
          <w:bCs/>
          <w:lang w:eastAsia="ro-MD"/>
        </w:rPr>
      </w:pPr>
      <w:r w:rsidRPr="00FC1EE3">
        <w:rPr>
          <w:rFonts w:ascii="Roboto" w:eastAsia="Times New Roman" w:hAnsi="Roboto" w:cs="Times New Roman"/>
          <w:b/>
          <w:bCs/>
          <w:lang w:eastAsia="ro-MD"/>
        </w:rPr>
        <w:t>NOTA DE FUNDAMENTARE</w:t>
      </w:r>
    </w:p>
    <w:p w14:paraId="484F1543" w14:textId="7A84BFFA" w:rsidR="00F04E3E" w:rsidRPr="00FC1EE3" w:rsidRDefault="00F04E3E" w:rsidP="00FC1EE3">
      <w:pPr>
        <w:spacing w:after="0" w:line="240" w:lineRule="auto"/>
        <w:jc w:val="center"/>
        <w:rPr>
          <w:rFonts w:ascii="Roboto" w:eastAsia="Times New Roman" w:hAnsi="Roboto" w:cs="Times New Roman"/>
          <w:b/>
          <w:bCs/>
          <w:lang w:eastAsia="ro-MD"/>
        </w:rPr>
      </w:pPr>
      <w:r w:rsidRPr="00FC1EE3">
        <w:rPr>
          <w:rFonts w:ascii="Roboto" w:eastAsia="Times New Roman" w:hAnsi="Roboto" w:cs="Times New Roman"/>
          <w:b/>
          <w:bCs/>
          <w:lang w:eastAsia="ro-MD"/>
        </w:rPr>
        <w:t xml:space="preserve">la proiectul de Hotărâre a Comitetului executiv </w:t>
      </w:r>
      <w:r w:rsidR="00DC4B7C" w:rsidRPr="00FC1EE3">
        <w:rPr>
          <w:rFonts w:ascii="Roboto" w:eastAsia="Times New Roman" w:hAnsi="Roboto" w:cs="Times New Roman"/>
          <w:b/>
          <w:bCs/>
          <w:lang w:eastAsia="ro-MD"/>
        </w:rPr>
        <w:t>cu privire la modificarea unor acte normative ale Băncii Naționale a Moldovei (</w:t>
      </w:r>
      <w:r w:rsidR="00BF3525" w:rsidRPr="00FC1EE3">
        <w:rPr>
          <w:rFonts w:ascii="Roboto" w:eastAsia="Times New Roman" w:hAnsi="Roboto" w:cs="Times New Roman"/>
          <w:b/>
          <w:bCs/>
          <w:lang w:val="ro-RO" w:eastAsia="ro-MD"/>
        </w:rPr>
        <w:t>acțiunile minime și tipul de măsuri suplimentare pe care trebuie să le ia băncile și prestatorii de servicii de plată nebancari pentru a diminua riscul de spălare a banilor și de finanțare a terorismului în alte state</w:t>
      </w:r>
      <w:r w:rsidR="00DC4B7C" w:rsidRPr="00FC1EE3">
        <w:rPr>
          <w:rFonts w:ascii="Roboto" w:eastAsia="Times New Roman" w:hAnsi="Roboto" w:cs="Times New Roman"/>
          <w:b/>
          <w:bCs/>
          <w:lang w:eastAsia="ro-MD"/>
        </w:rPr>
        <w:t>)</w:t>
      </w:r>
    </w:p>
    <w:p w14:paraId="70CF0B16" w14:textId="77777777" w:rsidR="00E13804" w:rsidRPr="00FC1EE3" w:rsidRDefault="00E13804" w:rsidP="00FC1EE3">
      <w:pPr>
        <w:spacing w:after="0" w:line="240" w:lineRule="auto"/>
        <w:jc w:val="both"/>
        <w:rPr>
          <w:rFonts w:ascii="Roboto" w:hAnsi="Roboto"/>
        </w:rPr>
      </w:pPr>
    </w:p>
    <w:tbl>
      <w:tblPr>
        <w:tblW w:w="5237" w:type="pct"/>
        <w:tblInd w:w="-575" w:type="dxa"/>
        <w:tblCellMar>
          <w:top w:w="15" w:type="dxa"/>
          <w:left w:w="15" w:type="dxa"/>
          <w:bottom w:w="15" w:type="dxa"/>
          <w:right w:w="15" w:type="dxa"/>
        </w:tblCellMar>
        <w:tblLook w:val="04A0" w:firstRow="1" w:lastRow="0" w:firstColumn="1" w:lastColumn="0" w:noHBand="0" w:noVBand="1"/>
      </w:tblPr>
      <w:tblGrid>
        <w:gridCol w:w="9928"/>
      </w:tblGrid>
      <w:tr w:rsidR="0042576A" w:rsidRPr="00FC1EE3" w14:paraId="0B8AD4C4" w14:textId="77777777" w:rsidTr="00B21F08">
        <w:tc>
          <w:tcPr>
            <w:tcW w:w="5000" w:type="pct"/>
            <w:tcBorders>
              <w:top w:val="single" w:sz="6" w:space="0" w:color="000000"/>
              <w:left w:val="single" w:sz="6" w:space="0" w:color="000000"/>
              <w:bottom w:val="single" w:sz="6" w:space="0" w:color="000000"/>
              <w:right w:val="single" w:sz="6" w:space="0" w:color="000000"/>
            </w:tcBorders>
            <w:shd w:val="clear" w:color="auto" w:fill="222A35" w:themeFill="text2" w:themeFillShade="80"/>
            <w:tcMar>
              <w:top w:w="24" w:type="dxa"/>
              <w:left w:w="48" w:type="dxa"/>
              <w:bottom w:w="24" w:type="dxa"/>
              <w:right w:w="48" w:type="dxa"/>
            </w:tcMar>
            <w:hideMark/>
          </w:tcPr>
          <w:p w14:paraId="380DFC0A" w14:textId="13AD7A41" w:rsidR="0042576A" w:rsidRPr="00FC1EE3" w:rsidRDefault="0042576A" w:rsidP="00FC1EE3">
            <w:pPr>
              <w:spacing w:after="0" w:line="240" w:lineRule="auto"/>
              <w:jc w:val="both"/>
              <w:rPr>
                <w:rFonts w:ascii="Roboto" w:eastAsia="Times New Roman" w:hAnsi="Roboto" w:cs="Times New Roman"/>
                <w:lang w:val="ro-RO" w:eastAsia="ro-RO"/>
              </w:rPr>
            </w:pPr>
            <w:r w:rsidRPr="00FC1EE3">
              <w:rPr>
                <w:rFonts w:ascii="Roboto" w:eastAsia="Times New Roman" w:hAnsi="Roboto" w:cs="Times New Roman"/>
                <w:b/>
                <w:bCs/>
                <w:lang w:val="ro-RO" w:eastAsia="ro-RO"/>
              </w:rPr>
              <w:t xml:space="preserve">1. Denumirea sau numele autorului </w:t>
            </w:r>
            <w:r w:rsidR="0001240D" w:rsidRPr="00FC1EE3">
              <w:rPr>
                <w:rFonts w:ascii="Roboto" w:eastAsia="Times New Roman" w:hAnsi="Roboto" w:cs="Times New Roman"/>
                <w:b/>
                <w:bCs/>
                <w:lang w:val="ro-RO" w:eastAsia="ro-RO"/>
              </w:rPr>
              <w:t>și</w:t>
            </w:r>
            <w:r w:rsidRPr="00FC1EE3">
              <w:rPr>
                <w:rFonts w:ascii="Roboto" w:eastAsia="Times New Roman" w:hAnsi="Roboto" w:cs="Times New Roman"/>
                <w:b/>
                <w:bCs/>
                <w:lang w:val="ro-RO" w:eastAsia="ro-RO"/>
              </w:rPr>
              <w:t xml:space="preserve">, după caz, a/al </w:t>
            </w:r>
            <w:r w:rsidR="00F56713" w:rsidRPr="00FC1EE3">
              <w:rPr>
                <w:rFonts w:ascii="Roboto" w:eastAsia="Times New Roman" w:hAnsi="Roboto" w:cs="Times New Roman"/>
                <w:b/>
                <w:bCs/>
                <w:lang w:val="ro-RO" w:eastAsia="ro-RO"/>
              </w:rPr>
              <w:t>participanților</w:t>
            </w:r>
            <w:r w:rsidRPr="00FC1EE3">
              <w:rPr>
                <w:rFonts w:ascii="Roboto" w:eastAsia="Times New Roman" w:hAnsi="Roboto" w:cs="Times New Roman"/>
                <w:b/>
                <w:bCs/>
                <w:lang w:val="ro-RO" w:eastAsia="ro-RO"/>
              </w:rPr>
              <w:t xml:space="preserve"> la elaborarea proiectului actului normativ</w:t>
            </w:r>
          </w:p>
        </w:tc>
      </w:tr>
      <w:tr w:rsidR="0042576A" w:rsidRPr="00FC1EE3" w14:paraId="743DD042" w14:textId="77777777" w:rsidTr="00801EFC">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3C5FB" w14:textId="77777777" w:rsidR="0042576A" w:rsidRDefault="0042576A" w:rsidP="00FC1EE3">
            <w:pPr>
              <w:spacing w:after="0" w:line="240" w:lineRule="auto"/>
              <w:jc w:val="both"/>
              <w:rPr>
                <w:rFonts w:ascii="Roboto" w:eastAsia="Times New Roman" w:hAnsi="Roboto" w:cs="Times New Roman"/>
                <w:lang w:val="ro-RO" w:eastAsia="ro-RO"/>
              </w:rPr>
            </w:pPr>
            <w:r w:rsidRPr="00FC1EE3">
              <w:rPr>
                <w:rFonts w:ascii="Roboto" w:eastAsia="Times New Roman" w:hAnsi="Roboto" w:cs="Times New Roman"/>
                <w:lang w:val="ro-RO" w:eastAsia="ro-RO"/>
              </w:rPr>
              <w:t> Autorul proiectului actului normativ este Banca Națională a Moldovei (BNM).</w:t>
            </w:r>
          </w:p>
          <w:p w14:paraId="68112177" w14:textId="7110596D" w:rsidR="00070C91" w:rsidRPr="00FC1EE3" w:rsidRDefault="00070C91" w:rsidP="00FC1EE3">
            <w:pPr>
              <w:spacing w:after="0" w:line="240" w:lineRule="auto"/>
              <w:jc w:val="both"/>
              <w:rPr>
                <w:rFonts w:ascii="Roboto" w:eastAsia="Times New Roman" w:hAnsi="Roboto" w:cs="Times New Roman"/>
                <w:lang w:val="ro-RO" w:eastAsia="ro-RO"/>
              </w:rPr>
            </w:pPr>
          </w:p>
        </w:tc>
      </w:tr>
      <w:tr w:rsidR="0042576A" w:rsidRPr="00FC1EE3" w14:paraId="6C91BA45" w14:textId="77777777" w:rsidTr="00B21F08">
        <w:tc>
          <w:tcPr>
            <w:tcW w:w="5000" w:type="pct"/>
            <w:tcBorders>
              <w:top w:val="single" w:sz="6" w:space="0" w:color="000000"/>
              <w:left w:val="single" w:sz="6" w:space="0" w:color="000000"/>
              <w:bottom w:val="single" w:sz="6" w:space="0" w:color="000000"/>
              <w:right w:val="single" w:sz="6" w:space="0" w:color="000000"/>
            </w:tcBorders>
            <w:shd w:val="clear" w:color="auto" w:fill="222A35" w:themeFill="text2" w:themeFillShade="80"/>
            <w:tcMar>
              <w:top w:w="24" w:type="dxa"/>
              <w:left w:w="48" w:type="dxa"/>
              <w:bottom w:w="24" w:type="dxa"/>
              <w:right w:w="48" w:type="dxa"/>
            </w:tcMar>
            <w:hideMark/>
          </w:tcPr>
          <w:p w14:paraId="026B61C0" w14:textId="55C767C1" w:rsidR="0042576A" w:rsidRPr="00FC1EE3" w:rsidRDefault="0042576A" w:rsidP="00FC1EE3">
            <w:pPr>
              <w:spacing w:after="0" w:line="240" w:lineRule="auto"/>
              <w:jc w:val="both"/>
              <w:rPr>
                <w:rFonts w:ascii="Roboto" w:eastAsia="Times New Roman" w:hAnsi="Roboto" w:cs="Times New Roman"/>
                <w:lang w:val="ro-RO" w:eastAsia="ro-RO"/>
              </w:rPr>
            </w:pPr>
            <w:r w:rsidRPr="00FC1EE3">
              <w:rPr>
                <w:rFonts w:ascii="Roboto" w:eastAsia="Times New Roman" w:hAnsi="Roboto" w:cs="Times New Roman"/>
                <w:b/>
                <w:bCs/>
                <w:lang w:val="ro-RO" w:eastAsia="ro-RO"/>
              </w:rPr>
              <w:t xml:space="preserve">2. </w:t>
            </w:r>
            <w:r w:rsidR="00F56713" w:rsidRPr="00FC1EE3">
              <w:rPr>
                <w:rFonts w:ascii="Roboto" w:eastAsia="Times New Roman" w:hAnsi="Roboto" w:cs="Times New Roman"/>
                <w:b/>
                <w:bCs/>
                <w:lang w:val="ro-RO" w:eastAsia="ro-RO"/>
              </w:rPr>
              <w:t>Condițiile</w:t>
            </w:r>
            <w:r w:rsidRPr="00FC1EE3">
              <w:rPr>
                <w:rFonts w:ascii="Roboto" w:eastAsia="Times New Roman" w:hAnsi="Roboto" w:cs="Times New Roman"/>
                <w:b/>
                <w:bCs/>
                <w:lang w:val="ro-RO" w:eastAsia="ro-RO"/>
              </w:rPr>
              <w:t xml:space="preserve"> ce au impus elaborarea proiectului actului normativ</w:t>
            </w:r>
          </w:p>
        </w:tc>
      </w:tr>
      <w:tr w:rsidR="004A7FCE" w:rsidRPr="00FC1EE3" w14:paraId="3EF7A1EA" w14:textId="77777777" w:rsidTr="00801EFC">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093E8817" w14:textId="601A8DA5" w:rsidR="004A7FCE" w:rsidRPr="00FC1EE3" w:rsidRDefault="004A7FCE" w:rsidP="00FC1EE3">
            <w:pPr>
              <w:spacing w:after="0" w:line="240" w:lineRule="auto"/>
              <w:jc w:val="both"/>
              <w:rPr>
                <w:rFonts w:ascii="Roboto" w:eastAsia="Times New Roman" w:hAnsi="Roboto" w:cs="Times New Roman"/>
                <w:b/>
                <w:bCs/>
                <w:lang w:val="ro-RO" w:eastAsia="ro-RO"/>
              </w:rPr>
            </w:pPr>
            <w:r w:rsidRPr="00FC1EE3">
              <w:rPr>
                <w:rFonts w:ascii="Roboto" w:eastAsia="Times New Roman" w:hAnsi="Roboto" w:cs="Times New Roman"/>
                <w:b/>
                <w:bCs/>
                <w:lang w:val="ro-RO" w:eastAsia="ro-RO"/>
              </w:rPr>
              <w:t>2.1. Temeiul legal sau, după caz, sursa proiectului actului normativ</w:t>
            </w:r>
          </w:p>
        </w:tc>
      </w:tr>
      <w:tr w:rsidR="0042576A" w:rsidRPr="00FC1EE3" w14:paraId="01E5DF97" w14:textId="77777777" w:rsidTr="00801EFC">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0571A" w14:textId="77777777" w:rsidR="0042576A" w:rsidRDefault="00053D59" w:rsidP="00FC1EE3">
            <w:pPr>
              <w:spacing w:after="0" w:line="240" w:lineRule="auto"/>
              <w:jc w:val="both"/>
              <w:rPr>
                <w:rFonts w:ascii="Roboto" w:eastAsia="Times New Roman" w:hAnsi="Roboto" w:cs="Times New Roman"/>
                <w:lang w:val="ro-RO" w:eastAsia="ro-RO"/>
              </w:rPr>
            </w:pPr>
            <w:r w:rsidRPr="00FC1EE3">
              <w:rPr>
                <w:rFonts w:ascii="Roboto" w:eastAsia="Times New Roman" w:hAnsi="Roboto" w:cs="Times New Roman"/>
                <w:lang w:val="ro-RO" w:eastAsia="ro-RO"/>
              </w:rPr>
              <w:t xml:space="preserve">Proiectul de Hotărâre a Comitetului executiv </w:t>
            </w:r>
            <w:bookmarkStart w:id="0" w:name="_Hlk213224586"/>
            <w:r w:rsidR="0019302C" w:rsidRPr="00FC1EE3">
              <w:rPr>
                <w:rFonts w:ascii="Roboto" w:eastAsia="Times New Roman" w:hAnsi="Roboto" w:cs="Times New Roman"/>
                <w:lang w:val="ro-RO" w:eastAsia="ro-RO"/>
              </w:rPr>
              <w:t>cu privire la modificarea unor acte normative ale Băncii Naționale a Moldovei (</w:t>
            </w:r>
            <w:r w:rsidR="00BF3525" w:rsidRPr="00FC1EE3">
              <w:rPr>
                <w:rFonts w:ascii="Roboto" w:eastAsia="Times New Roman" w:hAnsi="Roboto" w:cs="Times New Roman"/>
                <w:bCs/>
                <w:lang w:val="ro-RO" w:eastAsia="ro-RO"/>
              </w:rPr>
              <w:t>acțiunile minime și tipul de măsuri suplimentare pe care trebuie să le ia băncile și prestatorii de servicii de plată nebancari pentru a diminua riscul de spălare a banilor și de finanțare a terorismului în alte state</w:t>
            </w:r>
            <w:r w:rsidR="0019302C" w:rsidRPr="00FC1EE3">
              <w:rPr>
                <w:rFonts w:ascii="Roboto" w:eastAsia="Times New Roman" w:hAnsi="Roboto" w:cs="Times New Roman"/>
                <w:lang w:val="ro-RO" w:eastAsia="ro-RO"/>
              </w:rPr>
              <w:t xml:space="preserve">) </w:t>
            </w:r>
            <w:bookmarkEnd w:id="0"/>
            <w:r w:rsidR="0042576A" w:rsidRPr="00FC1EE3">
              <w:rPr>
                <w:rFonts w:ascii="Roboto" w:eastAsia="Times New Roman" w:hAnsi="Roboto" w:cs="Times New Roman"/>
                <w:lang w:val="ro-RO" w:eastAsia="ro-RO"/>
              </w:rPr>
              <w:t xml:space="preserve">este elaborat </w:t>
            </w:r>
            <w:r w:rsidR="0019302C" w:rsidRPr="00FC1EE3">
              <w:rPr>
                <w:rFonts w:ascii="Roboto" w:eastAsia="Times New Roman" w:hAnsi="Roboto" w:cs="Times New Roman"/>
                <w:lang w:val="ro-RO" w:eastAsia="ro-RO"/>
              </w:rPr>
              <w:t xml:space="preserve">în temeiul </w:t>
            </w:r>
            <w:r w:rsidR="00BF3525" w:rsidRPr="00FC1EE3">
              <w:rPr>
                <w:rFonts w:ascii="Roboto" w:eastAsia="Times New Roman" w:hAnsi="Roboto" w:cs="Times New Roman"/>
                <w:lang w:val="ro-RO" w:eastAsia="ro-RO"/>
              </w:rPr>
              <w:t>art. 16 alin. (2</w:t>
            </w:r>
            <w:r w:rsidR="00BF3525" w:rsidRPr="00FC1EE3">
              <w:rPr>
                <w:rFonts w:ascii="Roboto" w:eastAsia="Times New Roman" w:hAnsi="Roboto" w:cs="Times New Roman"/>
                <w:vertAlign w:val="superscript"/>
                <w:lang w:val="ro-RO" w:eastAsia="ro-RO"/>
              </w:rPr>
              <w:t>1</w:t>
            </w:r>
            <w:r w:rsidR="00BF3525" w:rsidRPr="00FC1EE3">
              <w:rPr>
                <w:rFonts w:ascii="Roboto" w:eastAsia="Times New Roman" w:hAnsi="Roboto" w:cs="Times New Roman"/>
                <w:lang w:val="ro-RO" w:eastAsia="ro-RO"/>
              </w:rPr>
              <w:t xml:space="preserve">) din Legea nr. 100/2017 cu privire la actele normative (Monitorul Oficial al Republicii Moldova, 2018, nr. 7-17, art. 34), cu modificările ulterioare,  art. 94 din Legea nr. 114/2012 </w:t>
            </w:r>
            <w:bookmarkStart w:id="1" w:name="_Hlk210051678"/>
            <w:r w:rsidR="00BF3525" w:rsidRPr="00FC1EE3">
              <w:rPr>
                <w:rFonts w:ascii="Roboto" w:eastAsia="Times New Roman" w:hAnsi="Roboto" w:cs="Times New Roman"/>
                <w:lang w:val="ro-RO" w:eastAsia="ro-RO"/>
              </w:rPr>
              <w:t xml:space="preserve">cu privire la serviciile de plată </w:t>
            </w:r>
            <w:proofErr w:type="spellStart"/>
            <w:r w:rsidR="00BF3525" w:rsidRPr="00FC1EE3">
              <w:rPr>
                <w:rFonts w:ascii="Roboto" w:eastAsia="Times New Roman" w:hAnsi="Roboto" w:cs="Times New Roman"/>
                <w:lang w:val="ro-RO" w:eastAsia="ro-RO"/>
              </w:rPr>
              <w:t>şi</w:t>
            </w:r>
            <w:proofErr w:type="spellEnd"/>
            <w:r w:rsidR="00BF3525" w:rsidRPr="00FC1EE3">
              <w:rPr>
                <w:rFonts w:ascii="Roboto" w:eastAsia="Times New Roman" w:hAnsi="Roboto" w:cs="Times New Roman"/>
                <w:lang w:val="ro-RO" w:eastAsia="ro-RO"/>
              </w:rPr>
              <w:t xml:space="preserve"> moneda electronică </w:t>
            </w:r>
            <w:bookmarkEnd w:id="1"/>
            <w:r w:rsidR="00BF3525" w:rsidRPr="00FC1EE3">
              <w:rPr>
                <w:rFonts w:ascii="Roboto" w:eastAsia="Times New Roman" w:hAnsi="Roboto" w:cs="Times New Roman"/>
                <w:lang w:val="ro-RO" w:eastAsia="ro-RO"/>
              </w:rPr>
              <w:t>(Monitorul Oficial al Republicii Moldova, 2012, nr.193-197 art.661), art. 13 alin. (9) și art.15 și alin.(2) lit. a) din Legea nr.308/2017 cu privire la prevenirea și combaterea spălării banilor și finanțării terorismului (Monitorul Oficial al Republicii Moldova, 2018, nr.58-66, art.133), cu modificările ulterioare</w:t>
            </w:r>
            <w:r w:rsidR="0019302C" w:rsidRPr="00FC1EE3">
              <w:rPr>
                <w:rFonts w:ascii="Roboto" w:eastAsia="Times New Roman" w:hAnsi="Roboto" w:cs="Times New Roman"/>
                <w:lang w:val="ro-RO" w:eastAsia="ro-RO"/>
              </w:rPr>
              <w:t>.</w:t>
            </w:r>
          </w:p>
          <w:p w14:paraId="2DA3D9C3" w14:textId="1705D802" w:rsidR="00070C91" w:rsidRPr="00FC1EE3" w:rsidRDefault="00070C91" w:rsidP="00FC1EE3">
            <w:pPr>
              <w:spacing w:after="0" w:line="240" w:lineRule="auto"/>
              <w:jc w:val="both"/>
              <w:rPr>
                <w:rFonts w:ascii="Roboto" w:eastAsia="Times New Roman" w:hAnsi="Roboto" w:cs="Times New Roman"/>
                <w:lang w:val="ro-RO" w:eastAsia="ro-RO"/>
              </w:rPr>
            </w:pPr>
          </w:p>
        </w:tc>
      </w:tr>
      <w:tr w:rsidR="004A7FCE" w:rsidRPr="00FC1EE3" w14:paraId="1BBCFF4A" w14:textId="77777777" w:rsidTr="00801EFC">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AC015D" w14:textId="2F682C88" w:rsidR="004A7FCE" w:rsidRPr="00FC1EE3" w:rsidRDefault="004A7FCE" w:rsidP="00FC1EE3">
            <w:pPr>
              <w:spacing w:after="0" w:line="240" w:lineRule="auto"/>
              <w:jc w:val="both"/>
              <w:rPr>
                <w:rFonts w:ascii="Roboto" w:eastAsia="Times New Roman" w:hAnsi="Roboto" w:cs="Times New Roman"/>
                <w:b/>
                <w:bCs/>
                <w:lang w:val="ro-RO" w:eastAsia="ro-RO"/>
              </w:rPr>
            </w:pPr>
            <w:r w:rsidRPr="00FC1EE3">
              <w:rPr>
                <w:rFonts w:ascii="Roboto" w:eastAsia="Times New Roman" w:hAnsi="Roboto" w:cs="Times New Roman"/>
                <w:b/>
                <w:bCs/>
                <w:lang w:val="ro-RO" w:eastAsia="ro-RO"/>
              </w:rPr>
              <w:t>2.2. Descrierea situației actuale și a problemelor care impun intervenția, inclusiv a cadrului aplicabil și a deficiențelor/lacunelor normative</w:t>
            </w:r>
          </w:p>
        </w:tc>
      </w:tr>
      <w:tr w:rsidR="0042576A" w:rsidRPr="00FC1EE3" w14:paraId="4A803E4D" w14:textId="77777777" w:rsidTr="00801EFC">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BE512" w14:textId="2AB487B9" w:rsidR="0042576A" w:rsidRPr="00FC1EE3" w:rsidRDefault="0042576A" w:rsidP="00FC1EE3">
            <w:pPr>
              <w:spacing w:after="0" w:line="240" w:lineRule="auto"/>
              <w:jc w:val="both"/>
              <w:rPr>
                <w:rFonts w:ascii="Roboto" w:eastAsia="Times New Roman" w:hAnsi="Roboto" w:cs="Times New Roman"/>
                <w:lang w:eastAsia="ro-RO"/>
              </w:rPr>
            </w:pPr>
            <w:r w:rsidRPr="00FC1EE3">
              <w:rPr>
                <w:rFonts w:ascii="Roboto" w:eastAsia="Times New Roman" w:hAnsi="Roboto" w:cs="Times New Roman"/>
                <w:lang w:val="ro-RO" w:eastAsia="ro-RO"/>
              </w:rPr>
              <w:t>Elaborarea proiectului</w:t>
            </w:r>
            <w:r w:rsidR="00053D59" w:rsidRPr="00FC1EE3">
              <w:rPr>
                <w:rFonts w:ascii="Roboto" w:eastAsia="Times New Roman" w:hAnsi="Roboto" w:cs="Times New Roman"/>
                <w:lang w:val="ro-RO" w:eastAsia="ro-RO"/>
              </w:rPr>
              <w:t xml:space="preserve"> HCE</w:t>
            </w:r>
            <w:r w:rsidRPr="00FC1EE3">
              <w:rPr>
                <w:rFonts w:ascii="Roboto" w:eastAsia="Times New Roman" w:hAnsi="Roboto" w:cs="Times New Roman"/>
                <w:lang w:val="ro-RO" w:eastAsia="ro-RO"/>
              </w:rPr>
              <w:t xml:space="preserve"> este condiționată de necesitatea</w:t>
            </w:r>
            <w:r w:rsidR="00CF2681" w:rsidRPr="00FC1EE3">
              <w:rPr>
                <w:rFonts w:ascii="Roboto" w:eastAsia="Times New Roman" w:hAnsi="Roboto" w:cs="Times New Roman"/>
                <w:lang w:eastAsia="ro-RO"/>
              </w:rPr>
              <w:t xml:space="preserve"> transpunerii prevederilor </w:t>
            </w:r>
            <w:r w:rsidR="00201F7E">
              <w:rPr>
                <w:rFonts w:ascii="Roboto" w:eastAsia="Times New Roman" w:hAnsi="Roboto" w:cs="Times New Roman"/>
                <w:lang w:eastAsia="ro-RO"/>
              </w:rPr>
              <w:t>Regulamentului Delegat</w:t>
            </w:r>
            <w:r w:rsidR="0019302C" w:rsidRPr="00FC1EE3">
              <w:rPr>
                <w:rFonts w:ascii="Roboto" w:eastAsia="Times New Roman" w:hAnsi="Roboto" w:cs="Times New Roman"/>
                <w:lang w:eastAsia="ro-RO"/>
              </w:rPr>
              <w:t xml:space="preserve"> (UE) 2019/758 </w:t>
            </w:r>
            <w:r w:rsidR="00201F7E">
              <w:rPr>
                <w:rFonts w:ascii="Roboto" w:eastAsia="Times New Roman" w:hAnsi="Roboto" w:cs="Times New Roman"/>
                <w:lang w:eastAsia="ro-RO"/>
              </w:rPr>
              <w:t>al</w:t>
            </w:r>
            <w:r w:rsidR="0019302C" w:rsidRPr="00FC1EE3">
              <w:rPr>
                <w:rFonts w:ascii="Roboto" w:eastAsia="Times New Roman" w:hAnsi="Roboto" w:cs="Times New Roman"/>
                <w:lang w:eastAsia="ro-RO"/>
              </w:rPr>
              <w:t xml:space="preserve"> </w:t>
            </w:r>
            <w:r w:rsidR="00201F7E">
              <w:rPr>
                <w:rFonts w:ascii="Roboto" w:eastAsia="Times New Roman" w:hAnsi="Roboto" w:cs="Times New Roman"/>
                <w:lang w:eastAsia="ro-RO"/>
              </w:rPr>
              <w:t>Comisiei</w:t>
            </w:r>
            <w:r w:rsidR="0019302C" w:rsidRPr="00FC1EE3">
              <w:rPr>
                <w:rFonts w:ascii="Roboto" w:eastAsia="Times New Roman" w:hAnsi="Roboto" w:cs="Times New Roman"/>
                <w:lang w:eastAsia="ro-RO"/>
              </w:rPr>
              <w:t xml:space="preserve"> din 31 ianuarie 2019 de completare a Directivei (UE) 2015/849 a Parlamentului European și a Consiliului în ceea ce privește standardele tehnice de reglementare care stabilesc acțiunile minime și tipul de măsuri suplimentare pe care trebuie să le ia instituțiile de credit și financiare pentru a diminua riscul de spălare a banilor și de finanțare a terorismului în anumite țări terțe (Text cu relevanță pentru SEE), publicat în Jurnalul Oficial al Uniunii Europene L 125 din 14 mai 2019, nr. CELEX 32019R0758</w:t>
            </w:r>
            <w:r w:rsidR="00CF2681" w:rsidRPr="00FC1EE3">
              <w:rPr>
                <w:rFonts w:ascii="Roboto" w:eastAsia="Times New Roman" w:hAnsi="Roboto" w:cs="Times New Roman"/>
                <w:lang w:eastAsia="ro-RO"/>
              </w:rPr>
              <w:t>. Această acțiune este inclusă în Programul Național de Aderare a Republicii Moldova la Uniunea Europeană 2025-2029, adoptat în data de 28.05.2025 prin Hotărârea de Guvern Nr. 306/2025 (acțiunea 1</w:t>
            </w:r>
            <w:r w:rsidR="0019302C" w:rsidRPr="00FC1EE3">
              <w:rPr>
                <w:rFonts w:ascii="Roboto" w:eastAsia="Times New Roman" w:hAnsi="Roboto" w:cs="Times New Roman"/>
                <w:lang w:eastAsia="ro-RO"/>
              </w:rPr>
              <w:t>2</w:t>
            </w:r>
            <w:r w:rsidR="00CF2681" w:rsidRPr="00FC1EE3">
              <w:rPr>
                <w:rFonts w:ascii="Roboto" w:eastAsia="Times New Roman" w:hAnsi="Roboto" w:cs="Times New Roman"/>
                <w:lang w:eastAsia="ro-RO"/>
              </w:rPr>
              <w:t xml:space="preserve"> din Anexa A, Capitolul 4 „Libera circulație a capitalului” CLUSTER 2 „Piața internă”).  </w:t>
            </w:r>
          </w:p>
          <w:p w14:paraId="6EDFB4B2" w14:textId="77777777" w:rsidR="00FD395D" w:rsidRPr="00FC1EE3" w:rsidRDefault="00FD395D" w:rsidP="00FC1EE3">
            <w:pPr>
              <w:spacing w:after="0" w:line="240" w:lineRule="auto"/>
              <w:jc w:val="both"/>
              <w:rPr>
                <w:rFonts w:ascii="Roboto" w:eastAsia="Times New Roman" w:hAnsi="Roboto" w:cs="Times New Roman"/>
                <w:lang w:eastAsia="ro-RO"/>
              </w:rPr>
            </w:pPr>
          </w:p>
          <w:p w14:paraId="70BA14F4" w14:textId="3FC97528" w:rsidR="00B95A5A" w:rsidRPr="00FC1EE3" w:rsidRDefault="00CF2681" w:rsidP="00FC1EE3">
            <w:pPr>
              <w:spacing w:after="0" w:line="240" w:lineRule="auto"/>
              <w:jc w:val="both"/>
              <w:rPr>
                <w:rFonts w:ascii="Roboto" w:eastAsia="Times New Roman" w:hAnsi="Roboto" w:cs="Times New Roman"/>
                <w:lang w:eastAsia="ro-RO"/>
              </w:rPr>
            </w:pPr>
            <w:r w:rsidRPr="00FC1EE3">
              <w:rPr>
                <w:rFonts w:ascii="Roboto" w:eastAsia="Times New Roman" w:hAnsi="Roboto" w:cs="Times New Roman"/>
                <w:lang w:eastAsia="ro-RO"/>
              </w:rPr>
              <w:t xml:space="preserve">Prin urmare, proiectul urmărește acoperirea segmentului cerințelor privind standardele tehnice </w:t>
            </w:r>
            <w:r w:rsidR="0019302C" w:rsidRPr="00FC1EE3">
              <w:rPr>
                <w:rFonts w:ascii="Roboto" w:eastAsia="Times New Roman" w:hAnsi="Roboto" w:cs="Times New Roman"/>
                <w:lang w:eastAsia="ro-RO"/>
              </w:rPr>
              <w:t>de reglementare</w:t>
            </w:r>
            <w:r w:rsidR="00B95A5A" w:rsidRPr="00FC1EE3">
              <w:rPr>
                <w:rFonts w:ascii="Roboto" w:eastAsia="Times New Roman" w:hAnsi="Roboto" w:cs="Times New Roman"/>
                <w:lang w:eastAsia="ro-RO"/>
              </w:rPr>
              <w:t>,</w:t>
            </w:r>
            <w:r w:rsidR="0019302C" w:rsidRPr="00FC1EE3">
              <w:rPr>
                <w:rFonts w:ascii="Roboto" w:eastAsia="Times New Roman" w:hAnsi="Roboto" w:cs="Times New Roman"/>
                <w:lang w:eastAsia="ro-RO"/>
              </w:rPr>
              <w:t xml:space="preserve"> care stabilesc acțiunile minime și tipul de măsuri suplimentare pe care trebuie să le ia băncile și prestatorii de servicii de plată nebancari pentru a diminua riscul de spălare a banilor și de finanțare a terorismului în cazul deschiderii filialelor </w:t>
            </w:r>
            <w:proofErr w:type="spellStart"/>
            <w:r w:rsidR="0019302C" w:rsidRPr="00FC1EE3">
              <w:rPr>
                <w:rFonts w:ascii="Roboto" w:eastAsia="Times New Roman" w:hAnsi="Roboto" w:cs="Times New Roman"/>
                <w:lang w:eastAsia="ro-RO"/>
              </w:rPr>
              <w:t>şi</w:t>
            </w:r>
            <w:proofErr w:type="spellEnd"/>
            <w:r w:rsidR="0019302C" w:rsidRPr="00FC1EE3">
              <w:rPr>
                <w:rFonts w:ascii="Roboto" w:eastAsia="Times New Roman" w:hAnsi="Roboto" w:cs="Times New Roman"/>
                <w:lang w:eastAsia="ro-RO"/>
              </w:rPr>
              <w:t xml:space="preserve"> sucursalelor pe teritoriul </w:t>
            </w:r>
            <w:r w:rsidR="00201F7E">
              <w:rPr>
                <w:rFonts w:ascii="Roboto" w:eastAsia="Times New Roman" w:hAnsi="Roboto" w:cs="Times New Roman"/>
                <w:lang w:eastAsia="ro-RO"/>
              </w:rPr>
              <w:t>statelor</w:t>
            </w:r>
            <w:r w:rsidR="0019302C" w:rsidRPr="00FC1EE3">
              <w:rPr>
                <w:rFonts w:ascii="Roboto" w:eastAsia="Times New Roman" w:hAnsi="Roboto" w:cs="Times New Roman"/>
                <w:lang w:eastAsia="ro-RO"/>
              </w:rPr>
              <w:t xml:space="preserve"> în care legislația în vigoare nu permite punerea în aplicare a politicilor și procedurilor la nivel de grup</w:t>
            </w:r>
            <w:r w:rsidR="00390FE1" w:rsidRPr="00FC1EE3">
              <w:rPr>
                <w:rFonts w:ascii="Roboto" w:eastAsia="Times New Roman" w:hAnsi="Roboto" w:cs="Times New Roman"/>
                <w:lang w:eastAsia="ro-RO"/>
              </w:rPr>
              <w:t>.</w:t>
            </w:r>
            <w:r w:rsidR="00B95A5A" w:rsidRPr="00FC1EE3">
              <w:rPr>
                <w:rFonts w:ascii="Roboto" w:eastAsia="Times New Roman" w:hAnsi="Roboto" w:cs="Times New Roman"/>
                <w:lang w:eastAsia="ro-RO"/>
              </w:rPr>
              <w:t xml:space="preserve"> </w:t>
            </w:r>
          </w:p>
          <w:p w14:paraId="26EAAE87" w14:textId="77777777" w:rsidR="00B95A5A" w:rsidRPr="00FC1EE3" w:rsidRDefault="00B95A5A" w:rsidP="00FC1EE3">
            <w:pPr>
              <w:spacing w:after="0" w:line="240" w:lineRule="auto"/>
              <w:jc w:val="both"/>
              <w:rPr>
                <w:rFonts w:ascii="Roboto" w:eastAsia="Times New Roman" w:hAnsi="Roboto" w:cs="Times New Roman"/>
                <w:lang w:eastAsia="ro-RO"/>
              </w:rPr>
            </w:pPr>
          </w:p>
          <w:p w14:paraId="49798292" w14:textId="2DC2D824" w:rsidR="00390FE1" w:rsidRPr="00FC1EE3" w:rsidRDefault="00B95A5A" w:rsidP="00FC1EE3">
            <w:pPr>
              <w:spacing w:after="0" w:line="240" w:lineRule="auto"/>
              <w:jc w:val="both"/>
              <w:rPr>
                <w:rFonts w:ascii="Roboto" w:eastAsia="Times New Roman" w:hAnsi="Roboto" w:cs="Times New Roman"/>
                <w:lang w:eastAsia="ro-RO"/>
              </w:rPr>
            </w:pPr>
            <w:r w:rsidRPr="00FC1EE3">
              <w:rPr>
                <w:rFonts w:ascii="Roboto" w:eastAsia="Times New Roman" w:hAnsi="Roboto" w:cs="Times New Roman"/>
                <w:lang w:eastAsia="ro-RO"/>
              </w:rPr>
              <w:t>Astfel, modificările și completările au fost operate în textul Regulamentului cu privire la cerințele privind prevenirea și combaterea spălării banilor și finanțării terorismului în activitatea băncilor, aprobat prin Hotărârea Comitetului executiv al Băncii Naționale a Moldovei nr.200/2018 (Monitorul Oficial al Republicii Moldova, 2018, nr.321-332, art.1311), cu modificările ulterioare, înregistrat la Ministerul Justiției al Republicii Moldova cu nr.1354 din 21.08.2018 și în textul</w:t>
            </w:r>
            <w:r w:rsidRPr="00FC1EE3">
              <w:rPr>
                <w:rFonts w:ascii="Roboto" w:hAnsi="Roboto"/>
              </w:rPr>
              <w:t xml:space="preserve"> </w:t>
            </w:r>
            <w:r w:rsidRPr="00FC1EE3">
              <w:rPr>
                <w:rFonts w:ascii="Roboto" w:eastAsia="Times New Roman" w:hAnsi="Roboto" w:cs="Times New Roman"/>
                <w:lang w:eastAsia="ro-RO"/>
              </w:rPr>
              <w:t>Regulamentului cu privire la cerințele privind prevenirea și combaterea spălării banilor și finanțării terorismului în activitatea prestatorilor de servicii de plată nebancari, aprobat prin</w:t>
            </w:r>
            <w:r w:rsidRPr="00FC1EE3">
              <w:rPr>
                <w:rFonts w:ascii="Roboto" w:hAnsi="Roboto"/>
              </w:rPr>
              <w:t xml:space="preserve"> </w:t>
            </w:r>
            <w:r w:rsidRPr="00FC1EE3">
              <w:rPr>
                <w:rFonts w:ascii="Roboto" w:eastAsia="Times New Roman" w:hAnsi="Roboto" w:cs="Times New Roman"/>
                <w:lang w:eastAsia="ro-RO"/>
              </w:rPr>
              <w:t xml:space="preserve">Hotărârea Comitetului executiv al </w:t>
            </w:r>
            <w:r w:rsidRPr="00FC1EE3">
              <w:rPr>
                <w:rFonts w:ascii="Roboto" w:eastAsia="Times New Roman" w:hAnsi="Roboto" w:cs="Times New Roman"/>
                <w:lang w:eastAsia="ro-RO"/>
              </w:rPr>
              <w:lastRenderedPageBreak/>
              <w:t xml:space="preserve">Băncii Naționale a Moldovei nr. 202/2018 (Monitorul Oficial al Republicii Moldova, 2018, nr.321-332, art.1313), cu modificările ulterioare, înregistrat de Ministerul Justiției al Republicii Moldova cu nr.1355 din 21.08.2018. </w:t>
            </w:r>
          </w:p>
          <w:p w14:paraId="6ABF5DD9" w14:textId="3D578353" w:rsidR="00851388" w:rsidRPr="00FC1EE3" w:rsidRDefault="00851388" w:rsidP="00FC1EE3">
            <w:pPr>
              <w:spacing w:after="0" w:line="240" w:lineRule="auto"/>
              <w:jc w:val="both"/>
              <w:rPr>
                <w:rFonts w:ascii="Roboto" w:eastAsia="Times New Roman" w:hAnsi="Roboto" w:cs="Times New Roman"/>
                <w:lang w:val="ro-RO" w:eastAsia="ro-RO"/>
              </w:rPr>
            </w:pPr>
          </w:p>
        </w:tc>
      </w:tr>
      <w:tr w:rsidR="0042576A" w:rsidRPr="00FC1EE3" w14:paraId="34AD25CF" w14:textId="77777777" w:rsidTr="00B21F08">
        <w:tc>
          <w:tcPr>
            <w:tcW w:w="5000" w:type="pct"/>
            <w:tcBorders>
              <w:top w:val="single" w:sz="6" w:space="0" w:color="000000"/>
              <w:left w:val="single" w:sz="6" w:space="0" w:color="000000"/>
              <w:bottom w:val="single" w:sz="6" w:space="0" w:color="000000"/>
              <w:right w:val="single" w:sz="6" w:space="0" w:color="000000"/>
            </w:tcBorders>
            <w:shd w:val="clear" w:color="auto" w:fill="222A35" w:themeFill="text2" w:themeFillShade="80"/>
            <w:tcMar>
              <w:top w:w="24" w:type="dxa"/>
              <w:left w:w="48" w:type="dxa"/>
              <w:bottom w:w="24" w:type="dxa"/>
              <w:right w:w="48" w:type="dxa"/>
            </w:tcMar>
            <w:hideMark/>
          </w:tcPr>
          <w:p w14:paraId="4EE7FBA1" w14:textId="2EF9EC0E" w:rsidR="0042576A" w:rsidRPr="00FC1EE3" w:rsidRDefault="0042576A" w:rsidP="00FC1EE3">
            <w:pPr>
              <w:spacing w:after="0" w:line="240" w:lineRule="auto"/>
              <w:jc w:val="both"/>
              <w:rPr>
                <w:rFonts w:ascii="Roboto" w:eastAsia="Times New Roman" w:hAnsi="Roboto" w:cs="Times New Roman"/>
                <w:lang w:val="ro-RO" w:eastAsia="ro-RO"/>
              </w:rPr>
            </w:pPr>
            <w:r w:rsidRPr="00FC1EE3">
              <w:rPr>
                <w:rFonts w:ascii="Roboto" w:eastAsia="Times New Roman" w:hAnsi="Roboto" w:cs="Times New Roman"/>
                <w:b/>
                <w:bCs/>
                <w:lang w:val="ro-RO" w:eastAsia="ro-RO"/>
              </w:rPr>
              <w:lastRenderedPageBreak/>
              <w:t xml:space="preserve">3. Obiectivele urmărite </w:t>
            </w:r>
            <w:r w:rsidR="0001240D" w:rsidRPr="00FC1EE3">
              <w:rPr>
                <w:rFonts w:ascii="Roboto" w:eastAsia="Times New Roman" w:hAnsi="Roboto" w:cs="Times New Roman"/>
                <w:b/>
                <w:bCs/>
                <w:lang w:val="ro-RO" w:eastAsia="ro-RO"/>
              </w:rPr>
              <w:t>și</w:t>
            </w:r>
            <w:r w:rsidRPr="00FC1EE3">
              <w:rPr>
                <w:rFonts w:ascii="Roboto" w:eastAsia="Times New Roman" w:hAnsi="Roboto" w:cs="Times New Roman"/>
                <w:b/>
                <w:bCs/>
                <w:lang w:val="ro-RO" w:eastAsia="ro-RO"/>
              </w:rPr>
              <w:t xml:space="preserve"> </w:t>
            </w:r>
            <w:r w:rsidR="0095515C" w:rsidRPr="00FC1EE3">
              <w:rPr>
                <w:rFonts w:ascii="Roboto" w:eastAsia="Times New Roman" w:hAnsi="Roboto" w:cs="Times New Roman"/>
                <w:b/>
                <w:bCs/>
                <w:lang w:val="ro-RO" w:eastAsia="ro-RO"/>
              </w:rPr>
              <w:t>soluțiile</w:t>
            </w:r>
            <w:r w:rsidRPr="00FC1EE3">
              <w:rPr>
                <w:rFonts w:ascii="Roboto" w:eastAsia="Times New Roman" w:hAnsi="Roboto" w:cs="Times New Roman"/>
                <w:b/>
                <w:bCs/>
                <w:lang w:val="ro-RO" w:eastAsia="ro-RO"/>
              </w:rPr>
              <w:t xml:space="preserve"> propuse</w:t>
            </w:r>
          </w:p>
        </w:tc>
      </w:tr>
      <w:tr w:rsidR="004A7FCE" w:rsidRPr="00FC1EE3" w14:paraId="31A29DF6" w14:textId="77777777" w:rsidTr="00801EFC">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50E6644C" w14:textId="3AD92FE0" w:rsidR="004A7FCE" w:rsidRPr="00FC1EE3" w:rsidRDefault="004A7FCE" w:rsidP="00FC1EE3">
            <w:pPr>
              <w:spacing w:after="0" w:line="240" w:lineRule="auto"/>
              <w:jc w:val="both"/>
              <w:rPr>
                <w:rFonts w:ascii="Roboto" w:eastAsia="Times New Roman" w:hAnsi="Roboto" w:cs="Times New Roman"/>
                <w:b/>
                <w:bCs/>
                <w:lang w:val="ro-RO" w:eastAsia="ro-RO"/>
              </w:rPr>
            </w:pPr>
            <w:r w:rsidRPr="00FC1EE3">
              <w:rPr>
                <w:rFonts w:ascii="Roboto" w:eastAsia="Times New Roman" w:hAnsi="Roboto" w:cs="Times New Roman"/>
                <w:b/>
                <w:bCs/>
                <w:lang w:val="ro-RO"/>
              </w:rPr>
              <w:t>3.1. Principalele prevederi ale proiectului și evidențierea elementelor noi</w:t>
            </w:r>
          </w:p>
        </w:tc>
      </w:tr>
      <w:tr w:rsidR="0042576A" w:rsidRPr="00FC1EE3" w14:paraId="42EB1CD4" w14:textId="77777777" w:rsidTr="00801EFC">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4111E" w14:textId="2FEFF003" w:rsidR="00692011" w:rsidRPr="00FC1EE3" w:rsidRDefault="00BB595C" w:rsidP="00FC1EE3">
            <w:pPr>
              <w:spacing w:after="0" w:line="240" w:lineRule="auto"/>
              <w:jc w:val="both"/>
              <w:rPr>
                <w:rFonts w:ascii="Roboto" w:eastAsia="Times New Roman" w:hAnsi="Roboto" w:cs="Times New Roman"/>
                <w:lang w:eastAsia="ro-RO"/>
              </w:rPr>
            </w:pPr>
            <w:r w:rsidRPr="00FC1EE3">
              <w:rPr>
                <w:rFonts w:ascii="Roboto" w:eastAsia="Times New Roman" w:hAnsi="Roboto" w:cs="Times New Roman"/>
                <w:lang w:eastAsia="ro-RO"/>
              </w:rPr>
              <w:t xml:space="preserve">Ajustările și completările operate </w:t>
            </w:r>
            <w:r w:rsidR="006E1ED8" w:rsidRPr="00FC1EE3">
              <w:rPr>
                <w:rFonts w:ascii="Roboto" w:eastAsia="Times New Roman" w:hAnsi="Roboto" w:cs="Times New Roman"/>
                <w:lang w:eastAsia="ro-RO"/>
              </w:rPr>
              <w:t>actelor</w:t>
            </w:r>
            <w:r w:rsidRPr="00FC1EE3">
              <w:rPr>
                <w:rFonts w:ascii="Roboto" w:eastAsia="Times New Roman" w:hAnsi="Roboto" w:cs="Times New Roman"/>
                <w:lang w:eastAsia="ro-RO"/>
              </w:rPr>
              <w:t xml:space="preserve"> normativ</w:t>
            </w:r>
            <w:r w:rsidR="006E1ED8" w:rsidRPr="00FC1EE3">
              <w:rPr>
                <w:rFonts w:ascii="Roboto" w:eastAsia="Times New Roman" w:hAnsi="Roboto" w:cs="Times New Roman"/>
                <w:lang w:eastAsia="ro-RO"/>
              </w:rPr>
              <w:t>e</w:t>
            </w:r>
            <w:r w:rsidRPr="00FC1EE3">
              <w:rPr>
                <w:rFonts w:ascii="Roboto" w:eastAsia="Times New Roman" w:hAnsi="Roboto" w:cs="Times New Roman"/>
                <w:lang w:eastAsia="ro-RO"/>
              </w:rPr>
              <w:t xml:space="preserve"> viza</w:t>
            </w:r>
            <w:r w:rsidR="00F93ACB" w:rsidRPr="00FC1EE3">
              <w:rPr>
                <w:rFonts w:ascii="Roboto" w:eastAsia="Times New Roman" w:hAnsi="Roboto" w:cs="Times New Roman"/>
                <w:lang w:eastAsia="ro-RO"/>
              </w:rPr>
              <w:t>t</w:t>
            </w:r>
            <w:r w:rsidR="006E1ED8" w:rsidRPr="00FC1EE3">
              <w:rPr>
                <w:rFonts w:ascii="Roboto" w:eastAsia="Times New Roman" w:hAnsi="Roboto" w:cs="Times New Roman"/>
                <w:lang w:eastAsia="ro-RO"/>
              </w:rPr>
              <w:t>e</w:t>
            </w:r>
            <w:r w:rsidRPr="00FC1EE3">
              <w:rPr>
                <w:rFonts w:ascii="Roboto" w:eastAsia="Times New Roman" w:hAnsi="Roboto" w:cs="Times New Roman"/>
                <w:lang w:eastAsia="ro-RO"/>
              </w:rPr>
              <w:t xml:space="preserve"> în prezentul proiect </w:t>
            </w:r>
            <w:r w:rsidR="00851388" w:rsidRPr="00FC1EE3">
              <w:rPr>
                <w:rFonts w:ascii="Roboto" w:eastAsia="Times New Roman" w:hAnsi="Roboto" w:cs="Times New Roman"/>
                <w:lang w:eastAsia="ro-RO"/>
              </w:rPr>
              <w:t>asigură transpunerea fidelă a prevederilor Regulamentului Delegat (UE) 2018/</w:t>
            </w:r>
            <w:r w:rsidR="00390FE1" w:rsidRPr="00FC1EE3">
              <w:rPr>
                <w:rFonts w:ascii="Roboto" w:eastAsia="Times New Roman" w:hAnsi="Roboto" w:cs="Times New Roman"/>
                <w:lang w:eastAsia="ro-RO"/>
              </w:rPr>
              <w:t>758</w:t>
            </w:r>
            <w:r w:rsidR="00B0598D" w:rsidRPr="00FC1EE3">
              <w:rPr>
                <w:rFonts w:ascii="Roboto" w:eastAsia="Times New Roman" w:hAnsi="Roboto" w:cs="Times New Roman"/>
                <w:lang w:eastAsia="ro-RO"/>
              </w:rPr>
              <w:t xml:space="preserve">. </w:t>
            </w:r>
            <w:r w:rsidR="00692011" w:rsidRPr="00FC1EE3">
              <w:rPr>
                <w:rFonts w:ascii="Roboto" w:eastAsia="Times New Roman" w:hAnsi="Roboto" w:cs="Times New Roman"/>
                <w:lang w:eastAsia="ro-RO"/>
              </w:rPr>
              <w:t xml:space="preserve">Proiectul aduce clarificări și extinderi importante în ceea ce privește gestionarea riscurilor de spălare a banilor și finanțare a terorismului, impunând noi obligații pentru bănci și prestatori de servicii de plată nebancari în contextul activității acestora în </w:t>
            </w:r>
            <w:r w:rsidR="00201F7E">
              <w:rPr>
                <w:rFonts w:ascii="Roboto" w:eastAsia="Times New Roman" w:hAnsi="Roboto" w:cs="Times New Roman"/>
                <w:lang w:eastAsia="ro-RO"/>
              </w:rPr>
              <w:t>alte state</w:t>
            </w:r>
            <w:r w:rsidR="00692011" w:rsidRPr="00FC1EE3">
              <w:rPr>
                <w:rFonts w:ascii="Roboto" w:eastAsia="Times New Roman" w:hAnsi="Roboto" w:cs="Times New Roman"/>
                <w:lang w:eastAsia="ro-RO"/>
              </w:rPr>
              <w:t xml:space="preserve">. </w:t>
            </w:r>
          </w:p>
          <w:p w14:paraId="17BCDF09" w14:textId="77777777" w:rsidR="00692011" w:rsidRPr="00FC1EE3" w:rsidRDefault="00692011" w:rsidP="00FC1EE3">
            <w:pPr>
              <w:spacing w:after="0" w:line="240" w:lineRule="auto"/>
              <w:jc w:val="both"/>
              <w:rPr>
                <w:rFonts w:ascii="Roboto" w:eastAsia="Times New Roman" w:hAnsi="Roboto" w:cs="Times New Roman"/>
                <w:lang w:eastAsia="ro-RO"/>
              </w:rPr>
            </w:pPr>
          </w:p>
          <w:p w14:paraId="7A3C0115" w14:textId="0EAD4D26" w:rsidR="00692011" w:rsidRPr="00FC1EE3" w:rsidRDefault="00692011" w:rsidP="00FC1EE3">
            <w:pPr>
              <w:spacing w:after="0" w:line="240" w:lineRule="auto"/>
              <w:jc w:val="both"/>
              <w:rPr>
                <w:rFonts w:ascii="Roboto" w:eastAsia="Times New Roman" w:hAnsi="Roboto" w:cs="Times New Roman"/>
                <w:lang w:eastAsia="ro-RO"/>
              </w:rPr>
            </w:pPr>
            <w:r w:rsidRPr="00FC1EE3">
              <w:rPr>
                <w:rFonts w:ascii="Roboto" w:eastAsia="Times New Roman" w:hAnsi="Roboto" w:cs="Times New Roman"/>
                <w:lang w:eastAsia="ro-RO"/>
              </w:rPr>
              <w:t>Principalele completări se concentrează pe extinderea cerințelor de conformitate la nivel de grup, implementarea unor măsuri suplimentare în caz de obstacole legale și capacitatea de a demonstra eficiența acestora, asigurarea unei implementări coerente a măsurilor de combatere a acestor riscuri la nivel de grup,</w:t>
            </w:r>
            <w:r w:rsidR="00BF3525" w:rsidRPr="00FC1EE3">
              <w:rPr>
                <w:rFonts w:ascii="Roboto" w:eastAsia="Times New Roman" w:hAnsi="Roboto" w:cs="Times New Roman"/>
                <w:lang w:eastAsia="ro-RO"/>
              </w:rPr>
              <w:t xml:space="preserve"> </w:t>
            </w:r>
            <w:r w:rsidRPr="00FC1EE3">
              <w:rPr>
                <w:rFonts w:ascii="Roboto" w:eastAsia="Times New Roman" w:hAnsi="Roboto" w:cs="Times New Roman"/>
                <w:lang w:eastAsia="ro-RO"/>
              </w:rPr>
              <w:t xml:space="preserve">în ceea ce privește sucursalele și filialele deținute în </w:t>
            </w:r>
            <w:r w:rsidR="00BF3525" w:rsidRPr="00FC1EE3">
              <w:rPr>
                <w:rFonts w:ascii="Roboto" w:eastAsia="Times New Roman" w:hAnsi="Roboto" w:cs="Times New Roman"/>
                <w:lang w:eastAsia="ro-RO"/>
              </w:rPr>
              <w:t>alte state</w:t>
            </w:r>
            <w:r w:rsidRPr="00FC1EE3">
              <w:rPr>
                <w:rFonts w:ascii="Roboto" w:eastAsia="Times New Roman" w:hAnsi="Roboto" w:cs="Times New Roman"/>
                <w:lang w:eastAsia="ro-RO"/>
              </w:rPr>
              <w:t xml:space="preserve">. </w:t>
            </w:r>
          </w:p>
          <w:p w14:paraId="579BF6FE" w14:textId="77777777" w:rsidR="00692011" w:rsidRPr="00FC1EE3" w:rsidRDefault="00692011" w:rsidP="00FC1EE3">
            <w:pPr>
              <w:spacing w:after="0" w:line="240" w:lineRule="auto"/>
              <w:jc w:val="both"/>
              <w:rPr>
                <w:rFonts w:ascii="Roboto" w:eastAsia="Times New Roman" w:hAnsi="Roboto" w:cs="Times New Roman"/>
                <w:lang w:eastAsia="ro-RO"/>
              </w:rPr>
            </w:pPr>
          </w:p>
          <w:p w14:paraId="72C7E9EB" w14:textId="7A65DDC5" w:rsidR="00E71A85" w:rsidRDefault="00692011" w:rsidP="00FC1EE3">
            <w:pPr>
              <w:spacing w:after="0" w:line="240" w:lineRule="auto"/>
              <w:jc w:val="both"/>
              <w:rPr>
                <w:rFonts w:ascii="Roboto" w:eastAsia="Times New Roman" w:hAnsi="Roboto" w:cs="Times New Roman"/>
                <w:lang w:eastAsia="ro-RO"/>
              </w:rPr>
            </w:pPr>
            <w:r w:rsidRPr="00FC1EE3">
              <w:rPr>
                <w:rFonts w:ascii="Roboto" w:eastAsia="Times New Roman" w:hAnsi="Roboto" w:cs="Times New Roman"/>
                <w:lang w:eastAsia="ro-RO"/>
              </w:rPr>
              <w:t>Aspectele cu caracter inovativ vizează, în principal următoarele:</w:t>
            </w:r>
          </w:p>
          <w:p w14:paraId="28C2F530" w14:textId="77777777" w:rsidR="00070C91" w:rsidRPr="00FC1EE3" w:rsidRDefault="00070C91" w:rsidP="00FC1EE3">
            <w:pPr>
              <w:spacing w:after="0" w:line="240" w:lineRule="auto"/>
              <w:jc w:val="both"/>
              <w:rPr>
                <w:rFonts w:ascii="Roboto" w:eastAsia="Times New Roman" w:hAnsi="Roboto" w:cs="Times New Roman"/>
                <w:lang w:eastAsia="ro-RO"/>
              </w:rPr>
            </w:pPr>
          </w:p>
          <w:p w14:paraId="0660AF8D" w14:textId="7A067CB9" w:rsidR="00692011" w:rsidRPr="00070C91" w:rsidRDefault="00692011" w:rsidP="00070C91">
            <w:pPr>
              <w:pStyle w:val="ListParagraph"/>
              <w:numPr>
                <w:ilvl w:val="0"/>
                <w:numId w:val="11"/>
              </w:numPr>
              <w:spacing w:after="0" w:line="240" w:lineRule="auto"/>
              <w:jc w:val="both"/>
              <w:rPr>
                <w:rFonts w:ascii="Roboto" w:eastAsia="Times New Roman" w:hAnsi="Roboto" w:cs="Times New Roman"/>
                <w:lang w:eastAsia="ro-RO"/>
              </w:rPr>
            </w:pPr>
            <w:r w:rsidRPr="00FC1EE3">
              <w:rPr>
                <w:rFonts w:ascii="Roboto" w:eastAsia="Times New Roman" w:hAnsi="Roboto" w:cs="Times New Roman"/>
                <w:lang w:eastAsia="ro-RO"/>
              </w:rPr>
              <w:t xml:space="preserve">Aplicarea reglementărilor la nivel de grup, prin accentuarea importanței implementării măsurilor de prevenire a spălării banilor și a finanțării terorismului la nivel de grup. Astfel, băncilor și prestatorilor de servicii de plată nebancari li se impune obligația de a identifica, evalua și gestiona riscurile în cadrul întregului grup, inclusiv în ceea ce privește sucursalele și filialele deținute în </w:t>
            </w:r>
            <w:r w:rsidR="00201F7E">
              <w:rPr>
                <w:rFonts w:ascii="Roboto" w:eastAsia="Times New Roman" w:hAnsi="Roboto" w:cs="Times New Roman"/>
                <w:lang w:eastAsia="ro-RO"/>
              </w:rPr>
              <w:t>state</w:t>
            </w:r>
            <w:r w:rsidRPr="00FC1EE3">
              <w:rPr>
                <w:rFonts w:ascii="Roboto" w:eastAsia="Times New Roman" w:hAnsi="Roboto" w:cs="Times New Roman"/>
                <w:lang w:eastAsia="ro-RO"/>
              </w:rPr>
              <w:t xml:space="preserve"> în care legislația în vigoare nu permite punerea în aplicare a politicilor și procedurilor la nivel de grup.</w:t>
            </w:r>
          </w:p>
          <w:p w14:paraId="3B9D699A" w14:textId="22CCBC74" w:rsidR="00692011" w:rsidRPr="00070C91" w:rsidRDefault="00692011" w:rsidP="00FC1EE3">
            <w:pPr>
              <w:pStyle w:val="ListParagraph"/>
              <w:numPr>
                <w:ilvl w:val="0"/>
                <w:numId w:val="11"/>
              </w:numPr>
              <w:spacing w:after="0" w:line="240" w:lineRule="auto"/>
              <w:jc w:val="both"/>
              <w:rPr>
                <w:rFonts w:ascii="Roboto" w:eastAsia="Times New Roman" w:hAnsi="Roboto" w:cs="Times New Roman"/>
                <w:lang w:eastAsia="ro-RO"/>
              </w:rPr>
            </w:pPr>
            <w:r w:rsidRPr="00FC1EE3">
              <w:rPr>
                <w:rFonts w:ascii="Roboto" w:eastAsia="Times New Roman" w:hAnsi="Roboto" w:cs="Times New Roman"/>
                <w:lang w:eastAsia="ro-RO"/>
              </w:rPr>
              <w:t xml:space="preserve">Gestionarea riscurilor în </w:t>
            </w:r>
            <w:r w:rsidR="00201F7E">
              <w:rPr>
                <w:rFonts w:ascii="Roboto" w:eastAsia="Times New Roman" w:hAnsi="Roboto" w:cs="Times New Roman"/>
                <w:lang w:eastAsia="ro-RO"/>
              </w:rPr>
              <w:t>alte state</w:t>
            </w:r>
            <w:r w:rsidRPr="00FC1EE3">
              <w:rPr>
                <w:rFonts w:ascii="Roboto" w:eastAsia="Times New Roman" w:hAnsi="Roboto" w:cs="Times New Roman"/>
                <w:lang w:eastAsia="ro-RO"/>
              </w:rPr>
              <w:t xml:space="preserve">, prin reglementări suplimentare privind gestionarea riscurilor de spălare a banilor și finanțare a terorismului în cazul sucursalelor și filialelor aflate în </w:t>
            </w:r>
            <w:r w:rsidR="00201F7E">
              <w:rPr>
                <w:rFonts w:ascii="Roboto" w:eastAsia="Times New Roman" w:hAnsi="Roboto" w:cs="Times New Roman"/>
                <w:lang w:eastAsia="ro-RO"/>
              </w:rPr>
              <w:t>statele respective</w:t>
            </w:r>
            <w:r w:rsidRPr="00FC1EE3">
              <w:rPr>
                <w:rFonts w:ascii="Roboto" w:eastAsia="Times New Roman" w:hAnsi="Roboto" w:cs="Times New Roman"/>
                <w:lang w:eastAsia="ro-RO"/>
              </w:rPr>
              <w:t xml:space="preserve">, în care legislațiile locale pot restricționa punerea în aplicare a politicilor și procedurilor de combatere a acestor riscuri la nivel de grup. În astfel de cazuri, proiectul propune măsuri suplimentare, precum obținerea consimțământului din partea clienților, pentru a depăși obstacolele juridice și a permite grupului să aplice măsurile de combatere a spălării banilor și a finanțării terorismului chiar și în </w:t>
            </w:r>
            <w:r w:rsidR="00201F7E">
              <w:rPr>
                <w:rFonts w:ascii="Roboto" w:eastAsia="Times New Roman" w:hAnsi="Roboto" w:cs="Times New Roman"/>
                <w:lang w:eastAsia="ro-RO"/>
              </w:rPr>
              <w:t>state</w:t>
            </w:r>
            <w:r w:rsidRPr="00FC1EE3">
              <w:rPr>
                <w:rFonts w:ascii="Roboto" w:eastAsia="Times New Roman" w:hAnsi="Roboto" w:cs="Times New Roman"/>
                <w:lang w:eastAsia="ro-RO"/>
              </w:rPr>
              <w:t xml:space="preserve"> cu reglementări restrictive.</w:t>
            </w:r>
          </w:p>
          <w:p w14:paraId="531E8BA3" w14:textId="1022876F" w:rsidR="00692011" w:rsidRPr="00070C91" w:rsidRDefault="00692011" w:rsidP="00FC1EE3">
            <w:pPr>
              <w:pStyle w:val="ListParagraph"/>
              <w:numPr>
                <w:ilvl w:val="0"/>
                <w:numId w:val="11"/>
              </w:numPr>
              <w:spacing w:after="0" w:line="240" w:lineRule="auto"/>
              <w:jc w:val="both"/>
              <w:rPr>
                <w:rFonts w:ascii="Roboto" w:eastAsia="Times New Roman" w:hAnsi="Roboto" w:cs="Times New Roman"/>
                <w:lang w:eastAsia="ro-RO"/>
              </w:rPr>
            </w:pPr>
            <w:r w:rsidRPr="00FC1EE3">
              <w:rPr>
                <w:rFonts w:ascii="Roboto" w:eastAsia="Times New Roman" w:hAnsi="Roboto" w:cs="Times New Roman"/>
                <w:lang w:eastAsia="ro-RO"/>
              </w:rPr>
              <w:t xml:space="preserve">Ajustarea politicilor și procedurilor, bazate pe evaluarea riscurilor și care permite gestionarea eficientă a riscurilor de spălare a banilor și a finanțării terorismului, inclusiv în condițiile în care autoritățile nu au acces direct la informațiile relevante din sucursalele și filialele deținute în </w:t>
            </w:r>
            <w:r w:rsidR="00201F7E">
              <w:rPr>
                <w:rFonts w:ascii="Roboto" w:eastAsia="Times New Roman" w:hAnsi="Roboto" w:cs="Times New Roman"/>
                <w:lang w:eastAsia="ro-RO"/>
              </w:rPr>
              <w:t>statele respective</w:t>
            </w:r>
            <w:r w:rsidRPr="00FC1EE3">
              <w:rPr>
                <w:rFonts w:ascii="Roboto" w:eastAsia="Times New Roman" w:hAnsi="Roboto" w:cs="Times New Roman"/>
                <w:lang w:eastAsia="ro-RO"/>
              </w:rPr>
              <w:t>.</w:t>
            </w:r>
          </w:p>
          <w:p w14:paraId="17FFBFFE" w14:textId="54C70FFA" w:rsidR="00692011" w:rsidRPr="00070C91" w:rsidRDefault="00692011" w:rsidP="00FC1EE3">
            <w:pPr>
              <w:pStyle w:val="ListParagraph"/>
              <w:numPr>
                <w:ilvl w:val="0"/>
                <w:numId w:val="11"/>
              </w:numPr>
              <w:spacing w:after="0" w:line="240" w:lineRule="auto"/>
              <w:jc w:val="both"/>
              <w:rPr>
                <w:rFonts w:ascii="Roboto" w:eastAsia="Times New Roman" w:hAnsi="Roboto" w:cs="Times New Roman"/>
                <w:lang w:eastAsia="ro-RO"/>
              </w:rPr>
            </w:pPr>
            <w:r w:rsidRPr="00FC1EE3">
              <w:rPr>
                <w:rFonts w:ascii="Roboto" w:eastAsia="Times New Roman" w:hAnsi="Roboto" w:cs="Times New Roman"/>
                <w:lang w:eastAsia="ro-RO"/>
              </w:rPr>
              <w:t>Obligația pentru bănci și prestatori de servicii de plată nebancari de a demonstra autorităților competente conformitatea, și anume că măsurile suplimentare implementate sunt adecvate și eficiente în gestionarea riscurilor de spălare a banilor și finanțării terorismului. În cazul în care autoritatea competentă consideră că măsurile implementate sunt insuficiente, aceasta poate solicita entităților să adopte măsuri suplimentare pentru a asigura respectarea obligațiilor legale.</w:t>
            </w:r>
          </w:p>
          <w:p w14:paraId="0B77D87A" w14:textId="2EB3D99F" w:rsidR="00692011" w:rsidRPr="00FC1EE3" w:rsidRDefault="00692011" w:rsidP="00FC1EE3">
            <w:pPr>
              <w:pStyle w:val="ListParagraph"/>
              <w:numPr>
                <w:ilvl w:val="0"/>
                <w:numId w:val="11"/>
              </w:numPr>
              <w:spacing w:after="0" w:line="240" w:lineRule="auto"/>
              <w:jc w:val="both"/>
              <w:rPr>
                <w:rFonts w:ascii="Roboto" w:eastAsia="Times New Roman" w:hAnsi="Roboto" w:cs="Times New Roman"/>
                <w:lang w:eastAsia="ro-RO"/>
              </w:rPr>
            </w:pPr>
            <w:r w:rsidRPr="00FC1EE3">
              <w:rPr>
                <w:rFonts w:ascii="Roboto" w:eastAsia="Times New Roman" w:hAnsi="Roboto" w:cs="Times New Roman"/>
                <w:lang w:eastAsia="ro-RO"/>
              </w:rPr>
              <w:t xml:space="preserve">Acțiuni minime specifice, pe care băncile și prestatorii de servicii de plată nebancari trebuie să le implementeze pentru a depăși obstacolele juridice din </w:t>
            </w:r>
            <w:r w:rsidR="00201F7E">
              <w:rPr>
                <w:rFonts w:ascii="Roboto" w:eastAsia="Times New Roman" w:hAnsi="Roboto" w:cs="Times New Roman"/>
                <w:lang w:eastAsia="ro-RO"/>
              </w:rPr>
              <w:t>alte state</w:t>
            </w:r>
            <w:r w:rsidRPr="00FC1EE3">
              <w:rPr>
                <w:rFonts w:ascii="Roboto" w:eastAsia="Times New Roman" w:hAnsi="Roboto" w:cs="Times New Roman"/>
                <w:lang w:eastAsia="ro-RO"/>
              </w:rPr>
              <w:t>. Aceste acțiuni sunt reglementate într-o manieră detaliată și trebuie să fie aplicate într-un cadru transparent și bazat pe evaluarea riscurilor specifice fiecăr</w:t>
            </w:r>
            <w:r w:rsidR="00201F7E">
              <w:rPr>
                <w:rFonts w:ascii="Roboto" w:eastAsia="Times New Roman" w:hAnsi="Roboto" w:cs="Times New Roman"/>
                <w:lang w:eastAsia="ro-RO"/>
              </w:rPr>
              <w:t>ui stat</w:t>
            </w:r>
            <w:r w:rsidRPr="00FC1EE3">
              <w:rPr>
                <w:rFonts w:ascii="Roboto" w:eastAsia="Times New Roman" w:hAnsi="Roboto" w:cs="Times New Roman"/>
                <w:lang w:eastAsia="ro-RO"/>
              </w:rPr>
              <w:t>.</w:t>
            </w:r>
          </w:p>
          <w:p w14:paraId="2369C672" w14:textId="76BC3B6B" w:rsidR="00B0598D" w:rsidRPr="00FC1EE3" w:rsidRDefault="00B0598D" w:rsidP="00FC1EE3">
            <w:pPr>
              <w:pStyle w:val="ListParagraph"/>
              <w:spacing w:after="0" w:line="240" w:lineRule="auto"/>
              <w:jc w:val="both"/>
              <w:rPr>
                <w:rFonts w:ascii="Roboto" w:hAnsi="Roboto"/>
                <w:shd w:val="clear" w:color="auto" w:fill="FFFFFF"/>
                <w:lang w:eastAsia="ro-MD"/>
              </w:rPr>
            </w:pPr>
          </w:p>
          <w:p w14:paraId="73273A0E" w14:textId="1D1576C3" w:rsidR="00C778FB" w:rsidRPr="00FC1EE3" w:rsidRDefault="00C778FB" w:rsidP="00FC1EE3">
            <w:pPr>
              <w:spacing w:line="240" w:lineRule="auto"/>
              <w:jc w:val="both"/>
              <w:rPr>
                <w:rFonts w:ascii="Roboto" w:eastAsia="Times New Roman" w:hAnsi="Roboto" w:cs="Times New Roman"/>
                <w:lang w:eastAsia="ro-RO"/>
              </w:rPr>
            </w:pPr>
          </w:p>
        </w:tc>
      </w:tr>
      <w:tr w:rsidR="004A7FCE" w:rsidRPr="00FC1EE3" w14:paraId="220D792D" w14:textId="77777777" w:rsidTr="00801EFC">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B37146" w14:textId="7C6F4C92" w:rsidR="004A7FCE" w:rsidRPr="00FC1EE3" w:rsidRDefault="004A7FCE" w:rsidP="00FC1EE3">
            <w:pPr>
              <w:spacing w:after="0" w:line="240" w:lineRule="auto"/>
              <w:jc w:val="both"/>
              <w:rPr>
                <w:rFonts w:ascii="Roboto" w:eastAsia="Times New Roman" w:hAnsi="Roboto" w:cs="Times New Roman"/>
                <w:lang w:val="ro-RO" w:eastAsia="ro-RO"/>
              </w:rPr>
            </w:pPr>
            <w:r w:rsidRPr="00FC1EE3">
              <w:rPr>
                <w:rFonts w:ascii="Roboto" w:eastAsia="Times New Roman" w:hAnsi="Roboto" w:cs="Times New Roman"/>
                <w:b/>
                <w:bCs/>
                <w:lang w:val="ro-RO"/>
              </w:rPr>
              <w:t xml:space="preserve">3.2. </w:t>
            </w:r>
            <w:r w:rsidR="0001240D" w:rsidRPr="00FC1EE3">
              <w:rPr>
                <w:rFonts w:ascii="Roboto" w:eastAsia="Times New Roman" w:hAnsi="Roboto" w:cs="Times New Roman"/>
                <w:b/>
                <w:bCs/>
                <w:lang w:val="ro-RO"/>
              </w:rPr>
              <w:t>Opțiunile</w:t>
            </w:r>
            <w:r w:rsidRPr="00FC1EE3">
              <w:rPr>
                <w:rFonts w:ascii="Roboto" w:eastAsia="Times New Roman" w:hAnsi="Roboto" w:cs="Times New Roman"/>
                <w:b/>
                <w:bCs/>
                <w:lang w:val="ro-RO"/>
              </w:rPr>
              <w:t xml:space="preserve"> alternative analizate </w:t>
            </w:r>
            <w:r w:rsidR="0001240D" w:rsidRPr="00FC1EE3">
              <w:rPr>
                <w:rFonts w:ascii="Roboto" w:eastAsia="Times New Roman" w:hAnsi="Roboto" w:cs="Times New Roman"/>
                <w:b/>
                <w:bCs/>
                <w:lang w:val="ro-RO"/>
              </w:rPr>
              <w:t>și</w:t>
            </w:r>
            <w:r w:rsidRPr="00FC1EE3">
              <w:rPr>
                <w:rFonts w:ascii="Roboto" w:eastAsia="Times New Roman" w:hAnsi="Roboto" w:cs="Times New Roman"/>
                <w:b/>
                <w:bCs/>
                <w:lang w:val="ro-RO"/>
              </w:rPr>
              <w:t xml:space="preserve"> motivele pentru care acestea nu au fost luate în considerare</w:t>
            </w:r>
          </w:p>
        </w:tc>
      </w:tr>
      <w:tr w:rsidR="004A7FCE" w:rsidRPr="00FC1EE3" w14:paraId="2CBD55BD" w14:textId="77777777" w:rsidTr="00801EFC">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8E5661" w14:textId="0C115107" w:rsidR="00BF3525" w:rsidRPr="00FC1EE3" w:rsidRDefault="00BF3525" w:rsidP="00FC1EE3">
            <w:pPr>
              <w:spacing w:after="0" w:line="240" w:lineRule="auto"/>
              <w:jc w:val="both"/>
              <w:rPr>
                <w:rFonts w:ascii="Roboto" w:eastAsia="Times New Roman" w:hAnsi="Roboto" w:cs="Times New Roman"/>
                <w:lang w:val="ro-RO"/>
              </w:rPr>
            </w:pPr>
            <w:r w:rsidRPr="00FC1EE3">
              <w:rPr>
                <w:rFonts w:ascii="Roboto" w:eastAsia="Times New Roman" w:hAnsi="Roboto" w:cs="Times New Roman"/>
                <w:lang w:val="ro-RO"/>
              </w:rPr>
              <w:t xml:space="preserve">În absența adoptării prezentului proiect, există un risc real de neîndeplinire a angajamentelor asumate de Republica Moldova în cadrul reuniunii de screening bilateral aferente Clusterului 2 – Piața internă, Capitolul 4 „Libera circulație a capitalului” acțiunea 12 din Anexa A. </w:t>
            </w:r>
          </w:p>
          <w:p w14:paraId="4594A799" w14:textId="77777777" w:rsidR="00BF3525" w:rsidRPr="00FC1EE3" w:rsidRDefault="00BF3525" w:rsidP="00FC1EE3">
            <w:pPr>
              <w:spacing w:after="0" w:line="240" w:lineRule="auto"/>
              <w:jc w:val="both"/>
              <w:rPr>
                <w:rFonts w:ascii="Roboto" w:eastAsia="Times New Roman" w:hAnsi="Roboto" w:cs="Times New Roman"/>
                <w:lang w:val="ro-RO"/>
              </w:rPr>
            </w:pPr>
            <w:r w:rsidRPr="00FC1EE3">
              <w:rPr>
                <w:rFonts w:ascii="Roboto" w:eastAsia="Times New Roman" w:hAnsi="Roboto" w:cs="Times New Roman"/>
                <w:lang w:val="ro-RO"/>
              </w:rPr>
              <w:t xml:space="preserve">De asemenea, având în vedere că prezentul proiect de act normativ este inclus în lista actelor normative necesare a fi coordonate cu Comisia Europeană, opțiunea neadoptării proiectului de lege </w:t>
            </w:r>
            <w:r w:rsidRPr="00FC1EE3">
              <w:rPr>
                <w:rFonts w:ascii="Roboto" w:eastAsia="Times New Roman" w:hAnsi="Roboto" w:cs="Times New Roman"/>
                <w:i/>
                <w:iCs/>
                <w:lang w:val="ro-RO"/>
              </w:rPr>
              <w:t>nu este una sustenabilă</w:t>
            </w:r>
            <w:r w:rsidRPr="00FC1EE3">
              <w:rPr>
                <w:rFonts w:ascii="Roboto" w:eastAsia="Times New Roman" w:hAnsi="Roboto" w:cs="Times New Roman"/>
                <w:lang w:val="ro-RO"/>
              </w:rPr>
              <w:t>, în contextul procesului de aderare a Republicii Moldova la UE.</w:t>
            </w:r>
          </w:p>
          <w:p w14:paraId="4D42BD5C" w14:textId="77777777" w:rsidR="00BF3525" w:rsidRPr="00FC1EE3" w:rsidRDefault="00BF3525" w:rsidP="00FC1EE3">
            <w:pPr>
              <w:spacing w:after="0" w:line="240" w:lineRule="auto"/>
              <w:jc w:val="both"/>
              <w:rPr>
                <w:rFonts w:ascii="Roboto" w:eastAsia="Times New Roman" w:hAnsi="Roboto" w:cs="Times New Roman"/>
                <w:lang w:val="ro-RO"/>
              </w:rPr>
            </w:pPr>
          </w:p>
          <w:p w14:paraId="2413F57C" w14:textId="23E96E8C" w:rsidR="004A7FCE" w:rsidRPr="00FC1EE3" w:rsidRDefault="004A7FCE" w:rsidP="00FC1EE3">
            <w:pPr>
              <w:spacing w:after="0" w:line="240" w:lineRule="auto"/>
              <w:jc w:val="both"/>
              <w:rPr>
                <w:rFonts w:ascii="Roboto" w:eastAsia="Times New Roman" w:hAnsi="Roboto" w:cs="Times New Roman"/>
                <w:lang w:val="ro-RO"/>
              </w:rPr>
            </w:pPr>
            <w:r w:rsidRPr="00FC1EE3">
              <w:rPr>
                <w:rFonts w:ascii="Roboto" w:eastAsia="Times New Roman" w:hAnsi="Roboto" w:cs="Times New Roman"/>
                <w:lang w:val="ro-RO"/>
              </w:rPr>
              <w:t>Propunerile și recomandările înaintate în cadrul consultării publice vor fi examinate, iar cele acceptate vor fi luate în considerare în procesul de definitivare a proiectului.</w:t>
            </w:r>
          </w:p>
        </w:tc>
      </w:tr>
      <w:tr w:rsidR="0042576A" w:rsidRPr="00FC1EE3" w14:paraId="6653AE4D" w14:textId="77777777" w:rsidTr="00B21F08">
        <w:tc>
          <w:tcPr>
            <w:tcW w:w="5000" w:type="pct"/>
            <w:tcBorders>
              <w:top w:val="single" w:sz="6" w:space="0" w:color="000000"/>
              <w:left w:val="single" w:sz="6" w:space="0" w:color="000000"/>
              <w:bottom w:val="single" w:sz="6" w:space="0" w:color="000000"/>
              <w:right w:val="single" w:sz="6" w:space="0" w:color="000000"/>
            </w:tcBorders>
            <w:shd w:val="clear" w:color="auto" w:fill="222A35" w:themeFill="text2" w:themeFillShade="80"/>
            <w:tcMar>
              <w:top w:w="24" w:type="dxa"/>
              <w:left w:w="48" w:type="dxa"/>
              <w:bottom w:w="24" w:type="dxa"/>
              <w:right w:w="48" w:type="dxa"/>
            </w:tcMar>
            <w:hideMark/>
          </w:tcPr>
          <w:p w14:paraId="649940B1" w14:textId="77777777" w:rsidR="0042576A" w:rsidRPr="00FC1EE3" w:rsidRDefault="0042576A" w:rsidP="00FC1EE3">
            <w:pPr>
              <w:spacing w:after="0" w:line="240" w:lineRule="auto"/>
              <w:jc w:val="both"/>
              <w:rPr>
                <w:rFonts w:ascii="Roboto" w:eastAsia="Times New Roman" w:hAnsi="Roboto" w:cs="Times New Roman"/>
                <w:lang w:val="ro-RO" w:eastAsia="ro-RO"/>
              </w:rPr>
            </w:pPr>
            <w:r w:rsidRPr="00FC1EE3">
              <w:rPr>
                <w:rFonts w:ascii="Roboto" w:eastAsia="Times New Roman" w:hAnsi="Roboto" w:cs="Times New Roman"/>
                <w:b/>
                <w:bCs/>
                <w:lang w:val="ro-RO" w:eastAsia="ro-RO"/>
              </w:rPr>
              <w:lastRenderedPageBreak/>
              <w:t>4. Analiza impactului de reglementare</w:t>
            </w:r>
          </w:p>
        </w:tc>
      </w:tr>
      <w:tr w:rsidR="0042576A" w:rsidRPr="00FC1EE3" w14:paraId="03900A7B" w14:textId="77777777" w:rsidTr="00801EFC">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29E4F" w14:textId="0113800F" w:rsidR="0042576A" w:rsidRPr="00FC1EE3" w:rsidRDefault="007C6E3E" w:rsidP="00FC1EE3">
            <w:pPr>
              <w:spacing w:after="0" w:line="240" w:lineRule="auto"/>
              <w:jc w:val="both"/>
              <w:rPr>
                <w:rFonts w:ascii="Roboto" w:eastAsia="Times New Roman" w:hAnsi="Roboto" w:cs="Times New Roman"/>
                <w:lang w:val="ro-RO" w:eastAsia="ro-RO"/>
              </w:rPr>
            </w:pPr>
            <w:r w:rsidRPr="00FC1EE3">
              <w:rPr>
                <w:rFonts w:ascii="Roboto" w:eastAsia="Times New Roman" w:hAnsi="Roboto" w:cs="Times New Roman"/>
                <w:b/>
                <w:bCs/>
              </w:rPr>
              <w:t>4.1. Impactul asupra sectorului public</w:t>
            </w:r>
          </w:p>
        </w:tc>
      </w:tr>
      <w:tr w:rsidR="007C6E3E" w:rsidRPr="00FC1EE3" w14:paraId="437EE6D3" w14:textId="77777777" w:rsidTr="00801EFC">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DD1517" w14:textId="28394BE7" w:rsidR="007C6E3E" w:rsidRPr="00FC1EE3" w:rsidDel="004A7FCE" w:rsidRDefault="007C6E3E" w:rsidP="00FC1EE3">
            <w:pPr>
              <w:spacing w:after="0" w:line="240" w:lineRule="auto"/>
              <w:jc w:val="both"/>
              <w:rPr>
                <w:rFonts w:ascii="Roboto" w:eastAsia="Times New Roman" w:hAnsi="Roboto" w:cs="Times New Roman"/>
                <w:lang w:val="ro-RO" w:eastAsia="ro-RO"/>
              </w:rPr>
            </w:pPr>
            <w:r w:rsidRPr="00FC1EE3">
              <w:rPr>
                <w:rFonts w:ascii="Roboto" w:eastAsia="Times New Roman" w:hAnsi="Roboto" w:cs="Times New Roman"/>
                <w:lang w:val="ro-RO" w:eastAsia="ro-RO"/>
              </w:rPr>
              <w:t>Nu este aplicabil</w:t>
            </w:r>
          </w:p>
        </w:tc>
      </w:tr>
      <w:tr w:rsidR="007C6E3E" w:rsidRPr="00FC1EE3" w14:paraId="10D64C58" w14:textId="77777777" w:rsidTr="00801EFC">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878A6C" w14:textId="5BEFF1DA" w:rsidR="007C6E3E" w:rsidRPr="00FC1EE3" w:rsidDel="004A7FCE" w:rsidRDefault="007C6E3E" w:rsidP="00FC1EE3">
            <w:pPr>
              <w:spacing w:after="0" w:line="240" w:lineRule="auto"/>
              <w:jc w:val="both"/>
              <w:rPr>
                <w:rFonts w:ascii="Roboto" w:eastAsia="Times New Roman" w:hAnsi="Roboto" w:cs="Times New Roman"/>
                <w:lang w:val="ro-RO" w:eastAsia="ro-RO"/>
              </w:rPr>
            </w:pPr>
            <w:r w:rsidRPr="00FC1EE3">
              <w:rPr>
                <w:rFonts w:ascii="Roboto" w:eastAsia="Times New Roman" w:hAnsi="Roboto" w:cs="Times New Roman"/>
                <w:b/>
                <w:bCs/>
              </w:rPr>
              <w:t xml:space="preserve">4.2. Impactul financiar </w:t>
            </w:r>
            <w:r w:rsidR="0001240D" w:rsidRPr="00FC1EE3">
              <w:rPr>
                <w:rFonts w:ascii="Roboto" w:eastAsia="Times New Roman" w:hAnsi="Roboto" w:cs="Times New Roman"/>
                <w:b/>
                <w:bCs/>
              </w:rPr>
              <w:t>și</w:t>
            </w:r>
            <w:r w:rsidRPr="00FC1EE3">
              <w:rPr>
                <w:rFonts w:ascii="Roboto" w:eastAsia="Times New Roman" w:hAnsi="Roboto" w:cs="Times New Roman"/>
                <w:b/>
                <w:bCs/>
              </w:rPr>
              <w:t xml:space="preserve"> argumentarea costurilor estimative</w:t>
            </w:r>
          </w:p>
        </w:tc>
      </w:tr>
      <w:tr w:rsidR="007C6E3E" w:rsidRPr="00FC1EE3" w14:paraId="2BE8F064" w14:textId="77777777" w:rsidTr="00801EFC">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C31427" w14:textId="4B8AFB36" w:rsidR="007C6E3E" w:rsidRPr="00FC1EE3" w:rsidDel="004A7FCE" w:rsidRDefault="007C6E3E" w:rsidP="00FC1EE3">
            <w:pPr>
              <w:spacing w:after="0" w:line="240" w:lineRule="auto"/>
              <w:jc w:val="both"/>
              <w:rPr>
                <w:rFonts w:ascii="Roboto" w:eastAsia="Times New Roman" w:hAnsi="Roboto" w:cs="Times New Roman"/>
                <w:lang w:val="ro-RO" w:eastAsia="ro-RO"/>
              </w:rPr>
            </w:pPr>
            <w:r w:rsidRPr="00FC1EE3">
              <w:rPr>
                <w:rFonts w:ascii="Roboto" w:eastAsia="Times New Roman" w:hAnsi="Roboto" w:cs="Times New Roman"/>
                <w:lang w:val="ro-RO" w:eastAsia="ro-RO"/>
              </w:rPr>
              <w:t>Proiectul de lege nu prevede careva cheltuieli din contul bugetului public național.</w:t>
            </w:r>
          </w:p>
        </w:tc>
      </w:tr>
      <w:tr w:rsidR="007C6E3E" w:rsidRPr="00FC1EE3" w14:paraId="16361A6F" w14:textId="77777777" w:rsidTr="00801EFC">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3A28A6" w14:textId="508E64BE" w:rsidR="007C6E3E" w:rsidRPr="00FC1EE3" w:rsidDel="004A7FCE" w:rsidRDefault="007C6E3E" w:rsidP="00FC1EE3">
            <w:pPr>
              <w:spacing w:after="0" w:line="240" w:lineRule="auto"/>
              <w:jc w:val="both"/>
              <w:rPr>
                <w:rFonts w:ascii="Roboto" w:eastAsia="Times New Roman" w:hAnsi="Roboto" w:cs="Times New Roman"/>
                <w:lang w:val="ro-RO" w:eastAsia="ro-RO"/>
              </w:rPr>
            </w:pPr>
            <w:r w:rsidRPr="00FC1EE3">
              <w:rPr>
                <w:rFonts w:ascii="Roboto" w:eastAsia="Times New Roman" w:hAnsi="Roboto" w:cs="Times New Roman"/>
                <w:b/>
                <w:bCs/>
              </w:rPr>
              <w:t>4.3. Impactul asupra sectorului privat</w:t>
            </w:r>
          </w:p>
        </w:tc>
      </w:tr>
      <w:tr w:rsidR="007C6E3E" w:rsidRPr="00FC1EE3" w14:paraId="156A62DC" w14:textId="77777777" w:rsidTr="00801EFC">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1792E0" w14:textId="5CB87A37" w:rsidR="007C6E3E" w:rsidRPr="00FC1EE3" w:rsidDel="004A7FCE" w:rsidRDefault="007C6E3E" w:rsidP="00FC1EE3">
            <w:pPr>
              <w:spacing w:after="0" w:line="240" w:lineRule="auto"/>
              <w:jc w:val="both"/>
              <w:rPr>
                <w:rFonts w:ascii="Roboto" w:eastAsia="Times New Roman" w:hAnsi="Roboto" w:cs="Times New Roman"/>
                <w:lang w:val="ro-RO" w:eastAsia="ro-RO"/>
              </w:rPr>
            </w:pPr>
            <w:r w:rsidRPr="00FC1EE3">
              <w:rPr>
                <w:rFonts w:ascii="Roboto" w:eastAsia="Times New Roman" w:hAnsi="Roboto" w:cs="Times New Roman"/>
                <w:lang w:val="ro-RO" w:eastAsia="ro-RO"/>
              </w:rPr>
              <w:t>Nu este aplicabil. Potrivit art.5 alin.(6) din Legea nr.548/1995 cu privire la Banca Națională a Moldovei, în coroborare cu art.</w:t>
            </w:r>
            <w:r w:rsidR="006374AD" w:rsidRPr="00FC1EE3">
              <w:rPr>
                <w:rFonts w:ascii="Roboto" w:eastAsia="Times New Roman" w:hAnsi="Roboto" w:cs="Times New Roman"/>
                <w:lang w:val="ro-RO" w:eastAsia="ro-RO"/>
              </w:rPr>
              <w:t xml:space="preserve"> </w:t>
            </w:r>
            <w:r w:rsidRPr="00FC1EE3">
              <w:rPr>
                <w:rFonts w:ascii="Roboto" w:eastAsia="Times New Roman" w:hAnsi="Roboto" w:cs="Times New Roman"/>
                <w:lang w:val="ro-RO" w:eastAsia="ro-RO"/>
              </w:rPr>
              <w:t>1 din Legea nr.</w:t>
            </w:r>
            <w:r w:rsidR="006374AD" w:rsidRPr="00FC1EE3">
              <w:rPr>
                <w:rFonts w:ascii="Roboto" w:eastAsia="Times New Roman" w:hAnsi="Roboto" w:cs="Times New Roman"/>
                <w:lang w:val="ro-RO" w:eastAsia="ro-RO"/>
              </w:rPr>
              <w:t xml:space="preserve"> </w:t>
            </w:r>
            <w:r w:rsidRPr="00FC1EE3">
              <w:rPr>
                <w:rFonts w:ascii="Roboto" w:eastAsia="Times New Roman" w:hAnsi="Roboto" w:cs="Times New Roman"/>
                <w:lang w:val="ro-RO" w:eastAsia="ro-RO"/>
              </w:rPr>
              <w:t>235/2006 cu privire la principiile de bază de reglementare a activității de întreprinzător, analiza impactului de reglementare nu se efectuează în privința actelor normative din domeniul financiar (bancar și nebancar).</w:t>
            </w:r>
          </w:p>
        </w:tc>
      </w:tr>
      <w:tr w:rsidR="007C6E3E" w:rsidRPr="00FC1EE3" w14:paraId="7520BBFE" w14:textId="77777777" w:rsidTr="00801EFC">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99D8D8" w14:textId="10CD6D8E" w:rsidR="007C6E3E" w:rsidRPr="00FC1EE3" w:rsidDel="004A7FCE" w:rsidRDefault="007C6E3E" w:rsidP="00FC1EE3">
            <w:pPr>
              <w:spacing w:after="0" w:line="240" w:lineRule="auto"/>
              <w:jc w:val="both"/>
              <w:rPr>
                <w:rFonts w:ascii="Roboto" w:eastAsia="Times New Roman" w:hAnsi="Roboto" w:cs="Times New Roman"/>
                <w:lang w:val="ro-RO" w:eastAsia="ro-RO"/>
              </w:rPr>
            </w:pPr>
            <w:r w:rsidRPr="00FC1EE3">
              <w:rPr>
                <w:rFonts w:ascii="Roboto" w:eastAsia="Times New Roman" w:hAnsi="Roboto" w:cs="Times New Roman"/>
                <w:b/>
                <w:bCs/>
              </w:rPr>
              <w:t>4.4. Impactul social</w:t>
            </w:r>
          </w:p>
        </w:tc>
      </w:tr>
      <w:tr w:rsidR="007C6E3E" w:rsidRPr="00FC1EE3" w14:paraId="31320484" w14:textId="77777777" w:rsidTr="00801EFC">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82D4FF" w14:textId="0E87618D" w:rsidR="007C6E3E" w:rsidRPr="00FC1EE3" w:rsidDel="004A7FCE" w:rsidRDefault="007C6E3E" w:rsidP="00FC1EE3">
            <w:pPr>
              <w:spacing w:after="0" w:line="240" w:lineRule="auto"/>
              <w:jc w:val="both"/>
              <w:rPr>
                <w:rFonts w:ascii="Roboto" w:eastAsia="Times New Roman" w:hAnsi="Roboto" w:cs="Times New Roman"/>
                <w:lang w:val="ro-RO" w:eastAsia="ro-RO"/>
              </w:rPr>
            </w:pPr>
            <w:r w:rsidRPr="00FC1EE3">
              <w:rPr>
                <w:rFonts w:ascii="Roboto" w:eastAsia="Times New Roman" w:hAnsi="Roboto" w:cs="Times New Roman"/>
                <w:lang w:val="ro-RO" w:eastAsia="ro-RO"/>
              </w:rPr>
              <w:t>Nu este aplicabil.</w:t>
            </w:r>
          </w:p>
        </w:tc>
      </w:tr>
      <w:tr w:rsidR="007C6E3E" w:rsidRPr="00FC1EE3" w14:paraId="463636CB" w14:textId="77777777" w:rsidTr="00801EFC">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B497F3" w14:textId="08ABED69" w:rsidR="007C6E3E" w:rsidRPr="00FC1EE3" w:rsidDel="004A7FCE" w:rsidRDefault="007C6E3E" w:rsidP="00FC1EE3">
            <w:pPr>
              <w:spacing w:after="0" w:line="240" w:lineRule="auto"/>
              <w:jc w:val="both"/>
              <w:rPr>
                <w:rFonts w:ascii="Roboto" w:eastAsia="Times New Roman" w:hAnsi="Roboto" w:cs="Times New Roman"/>
                <w:lang w:val="ro-RO" w:eastAsia="ro-RO"/>
              </w:rPr>
            </w:pPr>
            <w:r w:rsidRPr="00FC1EE3">
              <w:rPr>
                <w:rFonts w:ascii="Roboto" w:eastAsia="Times New Roman" w:hAnsi="Roboto" w:cs="Times New Roman"/>
                <w:lang w:val="ro-RO" w:eastAsia="ro-RO"/>
              </w:rPr>
              <w:t>4</w:t>
            </w:r>
            <w:r w:rsidRPr="00FC1EE3">
              <w:rPr>
                <w:rFonts w:ascii="Roboto" w:eastAsia="Times New Roman" w:hAnsi="Roboto" w:cs="Times New Roman"/>
                <w:b/>
                <w:bCs/>
                <w:lang w:val="ro-RO" w:eastAsia="ro-RO"/>
              </w:rPr>
              <w:t>.5. Impactul asupra mediului</w:t>
            </w:r>
          </w:p>
        </w:tc>
      </w:tr>
      <w:tr w:rsidR="007C6E3E" w:rsidRPr="00FC1EE3" w14:paraId="1D784743" w14:textId="77777777" w:rsidTr="00801EFC">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98D6E1" w14:textId="4B6A17FD" w:rsidR="007C6E3E" w:rsidRPr="00FC1EE3" w:rsidDel="004A7FCE" w:rsidRDefault="007C6E3E" w:rsidP="00FC1EE3">
            <w:pPr>
              <w:spacing w:after="0" w:line="240" w:lineRule="auto"/>
              <w:jc w:val="both"/>
              <w:rPr>
                <w:rFonts w:ascii="Roboto" w:eastAsia="Times New Roman" w:hAnsi="Roboto" w:cs="Times New Roman"/>
                <w:lang w:val="ro-RO" w:eastAsia="ro-RO"/>
              </w:rPr>
            </w:pPr>
            <w:r w:rsidRPr="00FC1EE3">
              <w:rPr>
                <w:rFonts w:ascii="Roboto" w:eastAsia="Times New Roman" w:hAnsi="Roboto" w:cs="Times New Roman"/>
                <w:lang w:val="ro-RO" w:eastAsia="ro-RO"/>
              </w:rPr>
              <w:t>Nu este aplicabil.</w:t>
            </w:r>
          </w:p>
        </w:tc>
      </w:tr>
      <w:tr w:rsidR="007C6E3E" w:rsidRPr="00FC1EE3" w14:paraId="0097A2FD" w14:textId="77777777" w:rsidTr="00801EFC">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EF6237" w14:textId="685D53BA" w:rsidR="007C6E3E" w:rsidRPr="00FC1EE3" w:rsidDel="004A7FCE" w:rsidRDefault="007C6E3E" w:rsidP="00FC1EE3">
            <w:pPr>
              <w:spacing w:after="0" w:line="240" w:lineRule="auto"/>
              <w:jc w:val="both"/>
              <w:rPr>
                <w:rFonts w:ascii="Roboto" w:eastAsia="Times New Roman" w:hAnsi="Roboto" w:cs="Times New Roman"/>
                <w:lang w:val="ro-RO" w:eastAsia="ro-RO"/>
              </w:rPr>
            </w:pPr>
            <w:r w:rsidRPr="00FC1EE3">
              <w:rPr>
                <w:rFonts w:ascii="Roboto" w:eastAsia="Times New Roman" w:hAnsi="Roboto" w:cs="Times New Roman"/>
                <w:b/>
                <w:bCs/>
              </w:rPr>
              <w:t xml:space="preserve">4.6. Alte impacturi </w:t>
            </w:r>
            <w:r w:rsidR="0001240D" w:rsidRPr="00FC1EE3">
              <w:rPr>
                <w:rFonts w:ascii="Roboto" w:eastAsia="Times New Roman" w:hAnsi="Roboto" w:cs="Times New Roman"/>
                <w:b/>
                <w:bCs/>
              </w:rPr>
              <w:t>și</w:t>
            </w:r>
            <w:r w:rsidRPr="00FC1EE3">
              <w:rPr>
                <w:rFonts w:ascii="Roboto" w:eastAsia="Times New Roman" w:hAnsi="Roboto" w:cs="Times New Roman"/>
                <w:b/>
                <w:bCs/>
              </w:rPr>
              <w:t xml:space="preserve"> </w:t>
            </w:r>
            <w:r w:rsidR="0001240D" w:rsidRPr="00FC1EE3">
              <w:rPr>
                <w:rFonts w:ascii="Roboto" w:eastAsia="Times New Roman" w:hAnsi="Roboto" w:cs="Times New Roman"/>
                <w:b/>
                <w:bCs/>
              </w:rPr>
              <w:t>informații</w:t>
            </w:r>
            <w:r w:rsidRPr="00FC1EE3">
              <w:rPr>
                <w:rFonts w:ascii="Roboto" w:eastAsia="Times New Roman" w:hAnsi="Roboto" w:cs="Times New Roman"/>
                <w:b/>
                <w:bCs/>
              </w:rPr>
              <w:t xml:space="preserve"> relevante  </w:t>
            </w:r>
          </w:p>
        </w:tc>
      </w:tr>
      <w:tr w:rsidR="007C6E3E" w:rsidRPr="00FC1EE3" w14:paraId="371FC805" w14:textId="77777777" w:rsidTr="00801EFC">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6F4E68" w14:textId="76BE5833" w:rsidR="007C6E3E" w:rsidRPr="00FC1EE3" w:rsidDel="004A7FCE" w:rsidRDefault="007C6E3E" w:rsidP="00FC1EE3">
            <w:pPr>
              <w:spacing w:after="0" w:line="240" w:lineRule="auto"/>
              <w:jc w:val="both"/>
              <w:rPr>
                <w:rFonts w:ascii="Roboto" w:eastAsia="Times New Roman" w:hAnsi="Roboto" w:cs="Times New Roman"/>
                <w:lang w:val="ro-RO" w:eastAsia="ro-RO"/>
              </w:rPr>
            </w:pPr>
            <w:r w:rsidRPr="00FC1EE3">
              <w:rPr>
                <w:rFonts w:ascii="Roboto" w:eastAsia="Times New Roman" w:hAnsi="Roboto" w:cs="Times New Roman"/>
                <w:lang w:val="ro-RO" w:eastAsia="ro-RO"/>
              </w:rPr>
              <w:t>Nu este aplicabil</w:t>
            </w:r>
          </w:p>
        </w:tc>
      </w:tr>
      <w:tr w:rsidR="0042576A" w:rsidRPr="00FC1EE3" w14:paraId="366FBF52" w14:textId="77777777" w:rsidTr="00B21F08">
        <w:tc>
          <w:tcPr>
            <w:tcW w:w="5000" w:type="pct"/>
            <w:tcBorders>
              <w:top w:val="single" w:sz="6" w:space="0" w:color="000000"/>
              <w:left w:val="single" w:sz="6" w:space="0" w:color="000000"/>
              <w:bottom w:val="single" w:sz="6" w:space="0" w:color="000000"/>
              <w:right w:val="single" w:sz="6" w:space="0" w:color="000000"/>
            </w:tcBorders>
            <w:shd w:val="clear" w:color="auto" w:fill="222A35" w:themeFill="text2" w:themeFillShade="80"/>
            <w:tcMar>
              <w:top w:w="24" w:type="dxa"/>
              <w:left w:w="48" w:type="dxa"/>
              <w:bottom w:w="24" w:type="dxa"/>
              <w:right w:w="48" w:type="dxa"/>
            </w:tcMar>
            <w:hideMark/>
          </w:tcPr>
          <w:p w14:paraId="7286BF8F" w14:textId="4B5D919F" w:rsidR="0042576A" w:rsidRPr="00FC1EE3" w:rsidRDefault="0042576A" w:rsidP="00FC1EE3">
            <w:pPr>
              <w:spacing w:after="0" w:line="240" w:lineRule="auto"/>
              <w:jc w:val="both"/>
              <w:rPr>
                <w:rFonts w:ascii="Roboto" w:eastAsia="Times New Roman" w:hAnsi="Roboto" w:cs="Times New Roman"/>
                <w:lang w:val="ro-RO" w:eastAsia="ro-RO"/>
              </w:rPr>
            </w:pPr>
            <w:r w:rsidRPr="00FC1EE3">
              <w:rPr>
                <w:rFonts w:ascii="Roboto" w:eastAsia="Times New Roman" w:hAnsi="Roboto" w:cs="Times New Roman"/>
                <w:b/>
                <w:bCs/>
                <w:lang w:val="ro-RO" w:eastAsia="ro-RO"/>
              </w:rPr>
              <w:t xml:space="preserve">5. Compatibilitatea proiectului actului normativ cu </w:t>
            </w:r>
            <w:r w:rsidR="0001240D" w:rsidRPr="00FC1EE3">
              <w:rPr>
                <w:rFonts w:ascii="Roboto" w:eastAsia="Times New Roman" w:hAnsi="Roboto" w:cs="Times New Roman"/>
                <w:b/>
                <w:bCs/>
                <w:lang w:val="ro-RO" w:eastAsia="ro-RO"/>
              </w:rPr>
              <w:t>legislația</w:t>
            </w:r>
            <w:r w:rsidRPr="00FC1EE3">
              <w:rPr>
                <w:rFonts w:ascii="Roboto" w:eastAsia="Times New Roman" w:hAnsi="Roboto" w:cs="Times New Roman"/>
                <w:b/>
                <w:bCs/>
                <w:lang w:val="ro-RO" w:eastAsia="ro-RO"/>
              </w:rPr>
              <w:t xml:space="preserve"> UE</w:t>
            </w:r>
          </w:p>
        </w:tc>
      </w:tr>
      <w:tr w:rsidR="0042576A" w:rsidRPr="00FC1EE3" w14:paraId="6AAEFD63" w14:textId="77777777" w:rsidTr="00801EFC">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D92C7" w14:textId="6A66EE1A" w:rsidR="0042576A" w:rsidRPr="00FC1EE3" w:rsidRDefault="007C6E3E" w:rsidP="00FC1EE3">
            <w:pPr>
              <w:spacing w:after="0" w:line="240" w:lineRule="auto"/>
              <w:jc w:val="both"/>
              <w:rPr>
                <w:rFonts w:ascii="Roboto" w:eastAsia="Times New Roman" w:hAnsi="Roboto" w:cs="Times New Roman"/>
                <w:lang w:val="ro-RO" w:eastAsia="ro-RO"/>
              </w:rPr>
            </w:pPr>
            <w:r w:rsidRPr="00FC1EE3">
              <w:rPr>
                <w:rFonts w:ascii="Roboto" w:eastAsia="Times New Roman" w:hAnsi="Roboto" w:cs="Times New Roman"/>
                <w:lang w:val="ro-RO" w:eastAsia="ro-RO"/>
              </w:rPr>
              <w:t xml:space="preserve">Proiectul </w:t>
            </w:r>
            <w:r w:rsidR="00320EF8" w:rsidRPr="00FC1EE3">
              <w:rPr>
                <w:rFonts w:ascii="Roboto" w:eastAsia="Times New Roman" w:hAnsi="Roboto" w:cs="Times New Roman"/>
                <w:lang w:val="ro-RO" w:eastAsia="ro-RO"/>
              </w:rPr>
              <w:t xml:space="preserve">va fi transmis Centrului </w:t>
            </w:r>
            <w:r w:rsidR="00B7443C" w:rsidRPr="00FC1EE3">
              <w:rPr>
                <w:rFonts w:ascii="Roboto" w:eastAsia="Times New Roman" w:hAnsi="Roboto" w:cs="Times New Roman"/>
                <w:lang w:val="ro-RO" w:eastAsia="ro-RO"/>
              </w:rPr>
              <w:t>de</w:t>
            </w:r>
            <w:r w:rsidR="00320EF8" w:rsidRPr="00FC1EE3">
              <w:rPr>
                <w:rFonts w:ascii="Roboto" w:eastAsia="Times New Roman" w:hAnsi="Roboto" w:cs="Times New Roman"/>
                <w:lang w:val="ro-RO" w:eastAsia="ro-RO"/>
              </w:rPr>
              <w:t xml:space="preserve"> </w:t>
            </w:r>
            <w:r w:rsidR="00B7443C" w:rsidRPr="00FC1EE3">
              <w:rPr>
                <w:rFonts w:ascii="Roboto" w:eastAsia="Times New Roman" w:hAnsi="Roboto" w:cs="Times New Roman"/>
                <w:lang w:val="ro-RO" w:eastAsia="ro-RO"/>
              </w:rPr>
              <w:t>a</w:t>
            </w:r>
            <w:r w:rsidR="00320EF8" w:rsidRPr="00FC1EE3">
              <w:rPr>
                <w:rFonts w:ascii="Roboto" w:eastAsia="Times New Roman" w:hAnsi="Roboto" w:cs="Times New Roman"/>
                <w:lang w:val="ro-RO" w:eastAsia="ro-RO"/>
              </w:rPr>
              <w:t>rmonizare</w:t>
            </w:r>
            <w:r w:rsidR="00B7443C" w:rsidRPr="00FC1EE3">
              <w:rPr>
                <w:rFonts w:ascii="Roboto" w:eastAsia="Times New Roman" w:hAnsi="Roboto" w:cs="Times New Roman"/>
                <w:lang w:val="ro-RO" w:eastAsia="ro-RO"/>
              </w:rPr>
              <w:t xml:space="preserve"> </w:t>
            </w:r>
            <w:r w:rsidR="00320EF8" w:rsidRPr="00FC1EE3">
              <w:rPr>
                <w:rFonts w:ascii="Roboto" w:eastAsia="Times New Roman" w:hAnsi="Roboto" w:cs="Times New Roman"/>
                <w:lang w:val="ro-RO" w:eastAsia="ro-RO"/>
              </w:rPr>
              <w:t xml:space="preserve">a </w:t>
            </w:r>
            <w:r w:rsidR="00B7443C" w:rsidRPr="00FC1EE3">
              <w:rPr>
                <w:rFonts w:ascii="Roboto" w:eastAsia="Times New Roman" w:hAnsi="Roboto" w:cs="Times New Roman"/>
                <w:lang w:val="ro-RO" w:eastAsia="ro-RO"/>
              </w:rPr>
              <w:t>l</w:t>
            </w:r>
            <w:r w:rsidR="00320EF8" w:rsidRPr="00FC1EE3">
              <w:rPr>
                <w:rFonts w:ascii="Roboto" w:eastAsia="Times New Roman" w:hAnsi="Roboto" w:cs="Times New Roman"/>
                <w:lang w:val="ro-RO" w:eastAsia="ro-RO"/>
              </w:rPr>
              <w:t>egislației, în vederea efectuării</w:t>
            </w:r>
            <w:r w:rsidRPr="00FC1EE3">
              <w:rPr>
                <w:rFonts w:ascii="Roboto" w:eastAsia="Times New Roman" w:hAnsi="Roboto" w:cs="Times New Roman"/>
                <w:lang w:val="ro-RO" w:eastAsia="ro-RO"/>
              </w:rPr>
              <w:t xml:space="preserve"> expertizei de compatibilitate</w:t>
            </w:r>
            <w:r w:rsidR="00320EF8" w:rsidRPr="00FC1EE3">
              <w:rPr>
                <w:rFonts w:ascii="Roboto" w:eastAsia="Times New Roman" w:hAnsi="Roboto" w:cs="Times New Roman"/>
                <w:lang w:val="ro-RO" w:eastAsia="ro-RO"/>
              </w:rPr>
              <w:t xml:space="preserve">. </w:t>
            </w:r>
            <w:r w:rsidR="00B7443C" w:rsidRPr="00FC1EE3">
              <w:rPr>
                <w:rFonts w:ascii="Roboto" w:eastAsia="Times New Roman" w:hAnsi="Roboto" w:cs="Times New Roman"/>
                <w:lang w:val="ro-RO" w:eastAsia="ro-RO"/>
              </w:rPr>
              <w:t>În contextul cerinței pct. 31 din Regulamentul privind armonizarea legislației Republicii Moldova cu legislația UE, aprobat prin Hotărârea Guvernului nr. 1171/2018, se</w:t>
            </w:r>
            <w:r w:rsidR="00B21F08" w:rsidRPr="00FC1EE3">
              <w:rPr>
                <w:rFonts w:ascii="Roboto" w:eastAsia="Times New Roman" w:hAnsi="Roboto" w:cs="Times New Roman"/>
                <w:lang w:val="ro-RO" w:eastAsia="ro-RO"/>
              </w:rPr>
              <w:t xml:space="preserve"> </w:t>
            </w:r>
            <w:r w:rsidR="00B7443C" w:rsidRPr="00FC1EE3">
              <w:rPr>
                <w:rFonts w:ascii="Roboto" w:eastAsia="Times New Roman" w:hAnsi="Roboto" w:cs="Times New Roman"/>
                <w:lang w:val="ro-RO" w:eastAsia="ro-RO"/>
              </w:rPr>
              <w:t xml:space="preserve">prezintă următoarele informații: </w:t>
            </w:r>
            <w:r w:rsidR="00B7443C" w:rsidRPr="00FC1EE3">
              <w:rPr>
                <w:rFonts w:ascii="Roboto" w:eastAsia="Times New Roman" w:hAnsi="Roboto" w:cs="Times New Roman"/>
                <w:lang w:val="ro-RO" w:eastAsia="ro-RO"/>
              </w:rPr>
              <w:cr/>
            </w:r>
          </w:p>
          <w:p w14:paraId="6E33CE4C" w14:textId="77777777" w:rsidR="00320EF8" w:rsidRPr="00FC1EE3" w:rsidRDefault="00320EF8" w:rsidP="00FC1EE3">
            <w:pPr>
              <w:spacing w:after="0" w:line="240" w:lineRule="auto"/>
              <w:jc w:val="both"/>
              <w:rPr>
                <w:rFonts w:ascii="Roboto" w:eastAsia="Times New Roman" w:hAnsi="Roboto" w:cs="Times New Roman"/>
                <w:b/>
                <w:bCs/>
                <w:lang w:eastAsia="ro-RO"/>
              </w:rPr>
            </w:pPr>
            <w:r w:rsidRPr="00FC1EE3">
              <w:rPr>
                <w:rFonts w:ascii="Roboto" w:eastAsia="Times New Roman" w:hAnsi="Roboto" w:cs="Times New Roman"/>
                <w:b/>
                <w:bCs/>
                <w:lang w:eastAsia="ro-RO"/>
              </w:rPr>
              <w:t xml:space="preserve">1) măsurile normative necesare pentru transpunerea actelor juridice ale UE în legislația națională: </w:t>
            </w:r>
          </w:p>
          <w:p w14:paraId="0729AD02" w14:textId="365B4F82" w:rsidR="00320EF8" w:rsidRPr="00FC1EE3" w:rsidRDefault="00320EF8" w:rsidP="00FC1EE3">
            <w:pPr>
              <w:pStyle w:val="ListParagraph"/>
              <w:numPr>
                <w:ilvl w:val="0"/>
                <w:numId w:val="9"/>
              </w:numPr>
              <w:spacing w:after="0" w:line="240" w:lineRule="auto"/>
              <w:jc w:val="both"/>
              <w:rPr>
                <w:rFonts w:ascii="Roboto" w:eastAsia="Times New Roman" w:hAnsi="Roboto" w:cs="Times New Roman"/>
                <w:lang w:eastAsia="ro-RO"/>
              </w:rPr>
            </w:pPr>
            <w:r w:rsidRPr="00FC1EE3">
              <w:rPr>
                <w:rFonts w:ascii="Roboto" w:eastAsia="Times New Roman" w:hAnsi="Roboto" w:cs="Times New Roman"/>
                <w:i/>
                <w:iCs/>
                <w:lang w:eastAsia="ro-RO"/>
              </w:rPr>
              <w:t>actului juridic european</w:t>
            </w:r>
            <w:r w:rsidR="007F0FF6" w:rsidRPr="00FC1EE3">
              <w:rPr>
                <w:rFonts w:ascii="Roboto" w:eastAsia="Times New Roman" w:hAnsi="Roboto" w:cs="Times New Roman"/>
                <w:lang w:eastAsia="ro-RO"/>
              </w:rPr>
              <w:t xml:space="preserve"> - </w:t>
            </w:r>
            <w:r w:rsidRPr="00FC1EE3">
              <w:rPr>
                <w:rFonts w:ascii="Roboto" w:eastAsia="Times New Roman" w:hAnsi="Roboto" w:cs="Times New Roman"/>
                <w:lang w:eastAsia="ro-RO"/>
              </w:rPr>
              <w:t xml:space="preserve"> </w:t>
            </w:r>
            <w:r w:rsidR="00815E29" w:rsidRPr="00FC1EE3">
              <w:rPr>
                <w:rFonts w:ascii="Roboto" w:eastAsia="Times New Roman" w:hAnsi="Roboto" w:cs="Times New Roman"/>
                <w:lang w:eastAsia="ro-RO"/>
              </w:rPr>
              <w:t>REGULAMENTULUI DELEGAT (UE) 2019/758 AL COMISIEI din 31 ianuarie 2019 de completare a Directivei (UE) 2015/849 a Parlamentului European și a Consiliului în ceea ce privește standardele tehnice de reglementare care stabilesc acțiunile minime și tipul de măsuri suplimentare pe care trebuie să le ia instituțiile de credit și financiare pentru a diminua riscul de spălare a banilor și de finanțare a terorismului în anumite țări terțe (Text cu relevanță pentru SEE), publicat în Jurnalul Oficial al Uniunii Europene L 125 din 14 mai 2019, nr. CELEX 32019R0758</w:t>
            </w:r>
            <w:r w:rsidR="007F0FF6" w:rsidRPr="00FC1EE3">
              <w:rPr>
                <w:rFonts w:ascii="Roboto" w:eastAsia="Times New Roman" w:hAnsi="Roboto" w:cs="Times New Roman"/>
                <w:lang w:eastAsia="ro-RO"/>
              </w:rPr>
              <w:t xml:space="preserve">. </w:t>
            </w:r>
          </w:p>
          <w:p w14:paraId="7C018939" w14:textId="77777777" w:rsidR="007F0FF6" w:rsidRPr="00FC1EE3" w:rsidRDefault="007F0FF6" w:rsidP="00FC1EE3">
            <w:pPr>
              <w:spacing w:after="0" w:line="240" w:lineRule="auto"/>
              <w:jc w:val="both"/>
              <w:rPr>
                <w:rFonts w:ascii="Roboto" w:eastAsia="Times New Roman" w:hAnsi="Roboto" w:cs="Times New Roman"/>
                <w:lang w:eastAsia="ro-RO"/>
              </w:rPr>
            </w:pPr>
          </w:p>
          <w:p w14:paraId="57BD55E8" w14:textId="0F5E2C93" w:rsidR="00E83B8E" w:rsidRPr="00FC1EE3" w:rsidRDefault="00320EF8" w:rsidP="00FC1EE3">
            <w:pPr>
              <w:pStyle w:val="ListParagraph"/>
              <w:numPr>
                <w:ilvl w:val="0"/>
                <w:numId w:val="9"/>
              </w:numPr>
              <w:spacing w:after="0" w:line="240" w:lineRule="auto"/>
              <w:jc w:val="both"/>
              <w:rPr>
                <w:rFonts w:ascii="Roboto" w:eastAsia="Times New Roman" w:hAnsi="Roboto" w:cs="Times New Roman"/>
                <w:lang w:eastAsia="ro-RO"/>
              </w:rPr>
            </w:pPr>
            <w:r w:rsidRPr="00FC1EE3">
              <w:rPr>
                <w:rFonts w:ascii="Roboto" w:eastAsia="Times New Roman" w:hAnsi="Roboto" w:cs="Times New Roman"/>
                <w:i/>
                <w:iCs/>
                <w:lang w:eastAsia="ro-RO"/>
              </w:rPr>
              <w:t>obiectivele actului juridic european</w:t>
            </w:r>
            <w:r w:rsidR="007F0FF6" w:rsidRPr="00FC1EE3">
              <w:rPr>
                <w:rFonts w:ascii="Roboto" w:eastAsia="Times New Roman" w:hAnsi="Roboto" w:cs="Times New Roman"/>
                <w:i/>
                <w:iCs/>
                <w:lang w:eastAsia="ro-RO"/>
              </w:rPr>
              <w:t xml:space="preserve"> </w:t>
            </w:r>
            <w:r w:rsidR="00FD395D" w:rsidRPr="00FC1EE3">
              <w:rPr>
                <w:rFonts w:ascii="Roboto" w:eastAsia="Times New Roman" w:hAnsi="Roboto" w:cs="Times New Roman"/>
                <w:i/>
                <w:iCs/>
                <w:lang w:eastAsia="ro-RO"/>
              </w:rPr>
              <w:t>–</w:t>
            </w:r>
            <w:r w:rsidR="007F0FF6" w:rsidRPr="00FC1EE3">
              <w:rPr>
                <w:rFonts w:ascii="Roboto" w:eastAsia="Times New Roman" w:hAnsi="Roboto" w:cs="Times New Roman"/>
                <w:lang w:eastAsia="ro-RO"/>
              </w:rPr>
              <w:t xml:space="preserve"> </w:t>
            </w:r>
            <w:r w:rsidR="00FD395D" w:rsidRPr="00FC1EE3">
              <w:rPr>
                <w:rFonts w:ascii="Roboto" w:eastAsia="Times New Roman" w:hAnsi="Roboto" w:cs="Times New Roman"/>
                <w:lang w:eastAsia="ro-RO"/>
              </w:rPr>
              <w:t>a</w:t>
            </w:r>
            <w:r w:rsidR="007F0FF6" w:rsidRPr="00FC1EE3">
              <w:rPr>
                <w:rFonts w:ascii="Roboto" w:eastAsia="Times New Roman" w:hAnsi="Roboto" w:cs="Times New Roman"/>
                <w:lang w:eastAsia="ro-RO"/>
              </w:rPr>
              <w:t>ctul normativ permite</w:t>
            </w:r>
            <w:r w:rsidRPr="00FC1EE3">
              <w:rPr>
                <w:rFonts w:ascii="Roboto" w:eastAsia="Times New Roman" w:hAnsi="Roboto" w:cs="Times New Roman"/>
                <w:lang w:eastAsia="ro-RO"/>
              </w:rPr>
              <w:t xml:space="preserve"> </w:t>
            </w:r>
            <w:r w:rsidR="00E83B8E" w:rsidRPr="00FC1EE3">
              <w:rPr>
                <w:rFonts w:ascii="Roboto" w:eastAsia="Times New Roman" w:hAnsi="Roboto" w:cs="Times New Roman"/>
                <w:lang w:eastAsia="ro-RO"/>
              </w:rPr>
              <w:t xml:space="preserve">băncilor și prestatorilor de servicii de plată nebancari să identifice, să evalueze și să gestioneze riscurile de spălare a banilor și de finanțare a terorismului la care sunt expuse, atunci când au înființat în țări terțe sucursale sau filiale pe care le dețin în proporție majoritară sau când se gândesc dacă să înființeze în țări terțe sucursale sau filiale pe care să le dețină în proporție majoritară. Prin urmare, se stabilesc standarde suplimentare pentru evaluarea și gestionarea eficace a riscului de spălare a banilor și de finanțare a terorismului la nivel de grup. </w:t>
            </w:r>
          </w:p>
          <w:p w14:paraId="1595917B" w14:textId="77777777" w:rsidR="00E83B8E" w:rsidRPr="00FC1EE3" w:rsidRDefault="00E83B8E" w:rsidP="00FC1EE3">
            <w:pPr>
              <w:pStyle w:val="ListParagraph"/>
              <w:spacing w:line="240" w:lineRule="auto"/>
              <w:rPr>
                <w:rFonts w:ascii="Roboto" w:eastAsia="Times New Roman" w:hAnsi="Roboto" w:cs="Times New Roman"/>
                <w:lang w:eastAsia="ro-RO"/>
              </w:rPr>
            </w:pPr>
          </w:p>
          <w:p w14:paraId="4671A67A" w14:textId="1DEEAA1D" w:rsidR="004A7469" w:rsidRPr="00FC1EE3" w:rsidRDefault="007F0FF6" w:rsidP="00FC1EE3">
            <w:pPr>
              <w:pStyle w:val="ListParagraph"/>
              <w:spacing w:after="0" w:line="240" w:lineRule="auto"/>
              <w:jc w:val="both"/>
              <w:rPr>
                <w:rFonts w:ascii="Roboto" w:eastAsia="Times New Roman" w:hAnsi="Roboto" w:cs="Times New Roman"/>
                <w:lang w:eastAsia="ro-RO"/>
              </w:rPr>
            </w:pPr>
            <w:r w:rsidRPr="00FC1EE3">
              <w:rPr>
                <w:rFonts w:ascii="Roboto" w:eastAsia="Times New Roman" w:hAnsi="Roboto" w:cs="Times New Roman"/>
                <w:lang w:eastAsia="ro-RO"/>
              </w:rPr>
              <w:t>Astfel</w:t>
            </w:r>
            <w:r w:rsidR="00E83B8E" w:rsidRPr="00FC1EE3">
              <w:rPr>
                <w:rFonts w:ascii="Roboto" w:eastAsia="Times New Roman" w:hAnsi="Roboto" w:cs="Times New Roman"/>
                <w:lang w:eastAsia="ro-RO"/>
              </w:rPr>
              <w:t>,</w:t>
            </w:r>
            <w:r w:rsidRPr="00FC1EE3">
              <w:rPr>
                <w:rFonts w:ascii="Roboto" w:eastAsia="Times New Roman" w:hAnsi="Roboto" w:cs="Times New Roman"/>
                <w:lang w:eastAsia="ro-RO"/>
              </w:rPr>
              <w:t xml:space="preserve"> obiectivul actului juridic european este de a stabili </w:t>
            </w:r>
            <w:r w:rsidR="004A7469" w:rsidRPr="00FC1EE3">
              <w:rPr>
                <w:rFonts w:ascii="Roboto" w:eastAsia="Times New Roman" w:hAnsi="Roboto" w:cs="Times New Roman"/>
                <w:lang w:eastAsia="ro-RO"/>
              </w:rPr>
              <w:t xml:space="preserve">standardele tehnice de reglementare privind acțiunile minime și tipul de măsuri suplimentare pe care trebuie să le ia băncile și prestatorii de servicii de plată nebancari pentru a diminua riscul de spălare a banilor și de finanțare a terorismului în anumite țări terțe, în care legislația în vigoare nu permite punerea în aplicare a politicilor și procedurilor la nivel de grup. </w:t>
            </w:r>
          </w:p>
          <w:p w14:paraId="01877F4B" w14:textId="77777777" w:rsidR="00E83B8E" w:rsidRPr="00FC1EE3" w:rsidRDefault="00E83B8E" w:rsidP="00FC1EE3">
            <w:pPr>
              <w:pStyle w:val="ListParagraph"/>
              <w:spacing w:after="0" w:line="240" w:lineRule="auto"/>
              <w:jc w:val="both"/>
              <w:rPr>
                <w:rFonts w:ascii="Roboto" w:eastAsia="Times New Roman" w:hAnsi="Roboto" w:cs="Times New Roman"/>
                <w:lang w:eastAsia="ro-RO"/>
              </w:rPr>
            </w:pPr>
          </w:p>
          <w:p w14:paraId="595C20EF" w14:textId="76CC6905" w:rsidR="00320EF8" w:rsidRPr="00FC1EE3" w:rsidRDefault="00320EF8" w:rsidP="00FC1EE3">
            <w:pPr>
              <w:pStyle w:val="ListParagraph"/>
              <w:numPr>
                <w:ilvl w:val="0"/>
                <w:numId w:val="9"/>
              </w:numPr>
              <w:spacing w:after="0" w:line="240" w:lineRule="auto"/>
              <w:jc w:val="both"/>
              <w:rPr>
                <w:rFonts w:ascii="Roboto" w:eastAsia="Times New Roman" w:hAnsi="Roboto" w:cs="Times New Roman"/>
                <w:lang w:eastAsia="ro-RO"/>
              </w:rPr>
            </w:pPr>
            <w:r w:rsidRPr="00FC1EE3">
              <w:rPr>
                <w:rFonts w:ascii="Roboto" w:eastAsia="Times New Roman" w:hAnsi="Roboto" w:cs="Times New Roman"/>
                <w:i/>
                <w:iCs/>
                <w:lang w:eastAsia="ro-RO"/>
              </w:rPr>
              <w:t>gradul de transpunere a actului juridic european</w:t>
            </w:r>
            <w:r w:rsidR="007F0FF6" w:rsidRPr="00FC1EE3">
              <w:rPr>
                <w:rFonts w:ascii="Roboto" w:eastAsia="Times New Roman" w:hAnsi="Roboto" w:cs="Times New Roman"/>
                <w:lang w:eastAsia="ro-RO"/>
              </w:rPr>
              <w:t xml:space="preserve"> – transpunere totală</w:t>
            </w:r>
            <w:r w:rsidR="009758D6" w:rsidRPr="00FC1EE3">
              <w:rPr>
                <w:rFonts w:ascii="Roboto" w:eastAsia="Times New Roman" w:hAnsi="Roboto" w:cs="Times New Roman"/>
                <w:lang w:eastAsia="ro-RO"/>
              </w:rPr>
              <w:t>, primară.</w:t>
            </w:r>
          </w:p>
          <w:p w14:paraId="58548C5C" w14:textId="77777777" w:rsidR="007F0FF6" w:rsidRPr="00FC1EE3" w:rsidRDefault="007F0FF6" w:rsidP="00FC1EE3">
            <w:pPr>
              <w:spacing w:after="0" w:line="240" w:lineRule="auto"/>
              <w:jc w:val="both"/>
              <w:rPr>
                <w:rFonts w:ascii="Roboto" w:eastAsia="Times New Roman" w:hAnsi="Roboto" w:cs="Times New Roman"/>
                <w:lang w:eastAsia="ro-RO"/>
              </w:rPr>
            </w:pPr>
          </w:p>
          <w:p w14:paraId="70BF9646" w14:textId="5763DBA4" w:rsidR="009758D6" w:rsidRPr="00FC1EE3" w:rsidRDefault="00320EF8" w:rsidP="00FC1EE3">
            <w:pPr>
              <w:pStyle w:val="ListParagraph"/>
              <w:numPr>
                <w:ilvl w:val="0"/>
                <w:numId w:val="9"/>
              </w:numPr>
              <w:spacing w:line="240" w:lineRule="auto"/>
              <w:jc w:val="both"/>
              <w:rPr>
                <w:rFonts w:ascii="Roboto" w:eastAsia="Times New Roman" w:hAnsi="Roboto" w:cs="Times New Roman"/>
                <w:lang w:eastAsia="ro-RO"/>
              </w:rPr>
            </w:pPr>
            <w:r w:rsidRPr="00FC1EE3">
              <w:rPr>
                <w:rFonts w:ascii="Roboto" w:eastAsia="Times New Roman" w:hAnsi="Roboto" w:cs="Times New Roman"/>
                <w:i/>
                <w:iCs/>
                <w:lang w:eastAsia="ro-RO"/>
              </w:rPr>
              <w:lastRenderedPageBreak/>
              <w:t>argumentarea introducerii unor reglementări care nu sunt prevăzute expres în actul juridic european și/sau care depășesc cerințele minime stabilite de acesta</w:t>
            </w:r>
            <w:r w:rsidR="00815E29" w:rsidRPr="00FC1EE3">
              <w:rPr>
                <w:rFonts w:ascii="Roboto" w:eastAsia="Times New Roman" w:hAnsi="Roboto" w:cs="Times New Roman"/>
                <w:i/>
                <w:iCs/>
                <w:lang w:eastAsia="ro-RO"/>
              </w:rPr>
              <w:t xml:space="preserve"> –</w:t>
            </w:r>
            <w:r w:rsidR="00801EFC" w:rsidRPr="00FC1EE3">
              <w:rPr>
                <w:rFonts w:ascii="Roboto" w:eastAsia="Times New Roman" w:hAnsi="Roboto" w:cs="Times New Roman"/>
                <w:i/>
                <w:iCs/>
                <w:lang w:eastAsia="ro-RO"/>
              </w:rPr>
              <w:t xml:space="preserve"> </w:t>
            </w:r>
            <w:r w:rsidR="00801EFC" w:rsidRPr="00FC1EE3">
              <w:rPr>
                <w:rFonts w:ascii="Roboto" w:eastAsia="Times New Roman" w:hAnsi="Roboto" w:cs="Times New Roman"/>
                <w:lang w:eastAsia="ro-RO"/>
              </w:rPr>
              <w:t xml:space="preserve">se subliniază că deși </w:t>
            </w:r>
            <w:r w:rsidR="00201F7E">
              <w:rPr>
                <w:rFonts w:ascii="Roboto" w:eastAsia="Times New Roman" w:hAnsi="Roboto" w:cs="Times New Roman"/>
                <w:lang w:eastAsia="ro-RO"/>
              </w:rPr>
              <w:t>Regulamentul Delegat</w:t>
            </w:r>
            <w:r w:rsidR="00801EFC" w:rsidRPr="00FC1EE3">
              <w:rPr>
                <w:rFonts w:ascii="Roboto" w:eastAsia="Times New Roman" w:hAnsi="Roboto" w:cs="Times New Roman"/>
                <w:lang w:eastAsia="ro-RO"/>
              </w:rPr>
              <w:t xml:space="preserve"> (UE) 2019/758 operează cu termenul de „instituții de credit și financiare”, acesta a fost asimilat în proiect sub conceptul de „bănci” și „prestatori de servicii de plată nebancari”. Cadrul normativ vizat (Regulamentul BNM nr. 200/2018 și Regulamentul BNM nr. 202/2018) se va ajusta corespunzător, odată cu ajustarea în acest sens a cadrului normativ primar de reglementare a noțiunilor de „instituții de credit și financiare”. </w:t>
            </w:r>
          </w:p>
          <w:p w14:paraId="1A8686A4" w14:textId="77777777" w:rsidR="00FD395D" w:rsidRPr="00FC1EE3" w:rsidRDefault="00FD395D" w:rsidP="00FC1EE3">
            <w:pPr>
              <w:pStyle w:val="ListParagraph"/>
              <w:spacing w:line="240" w:lineRule="auto"/>
              <w:ind w:left="951"/>
              <w:jc w:val="both"/>
              <w:rPr>
                <w:rFonts w:ascii="Roboto" w:eastAsia="Times New Roman" w:hAnsi="Roboto" w:cs="Times New Roman"/>
                <w:lang w:eastAsia="ro-RO"/>
              </w:rPr>
            </w:pPr>
          </w:p>
          <w:p w14:paraId="18A9F73B" w14:textId="410BDC54" w:rsidR="00320EF8" w:rsidRPr="00FC1EE3" w:rsidRDefault="00320EF8" w:rsidP="00FC1EE3">
            <w:pPr>
              <w:pStyle w:val="ListParagraph"/>
              <w:numPr>
                <w:ilvl w:val="0"/>
                <w:numId w:val="9"/>
              </w:numPr>
              <w:spacing w:after="0" w:line="240" w:lineRule="auto"/>
              <w:jc w:val="both"/>
              <w:rPr>
                <w:rFonts w:ascii="Roboto" w:eastAsia="Times New Roman" w:hAnsi="Roboto" w:cs="Times New Roman"/>
                <w:lang w:eastAsia="ro-RO"/>
              </w:rPr>
            </w:pPr>
            <w:r w:rsidRPr="00FC1EE3">
              <w:rPr>
                <w:rFonts w:ascii="Roboto" w:eastAsia="Times New Roman" w:hAnsi="Roboto" w:cs="Times New Roman"/>
                <w:i/>
                <w:iCs/>
                <w:lang w:eastAsia="ro-RO"/>
              </w:rPr>
              <w:t>mențiunea privind elaborarea tabelului de concordanță și actualizarea acestuia</w:t>
            </w:r>
            <w:r w:rsidR="009758D6" w:rsidRPr="00FC1EE3">
              <w:rPr>
                <w:rFonts w:ascii="Roboto" w:eastAsia="Times New Roman" w:hAnsi="Roboto" w:cs="Times New Roman"/>
                <w:lang w:eastAsia="ro-RO"/>
              </w:rPr>
              <w:t xml:space="preserve">: tabelul de concordanță </w:t>
            </w:r>
            <w:r w:rsidR="00BF3525" w:rsidRPr="00FC1EE3">
              <w:rPr>
                <w:rFonts w:ascii="Roboto" w:eastAsia="Times New Roman" w:hAnsi="Roboto" w:cs="Times New Roman"/>
                <w:lang w:eastAsia="ro-RO"/>
              </w:rPr>
              <w:t>se transmite</w:t>
            </w:r>
            <w:r w:rsidR="009758D6" w:rsidRPr="00FC1EE3">
              <w:rPr>
                <w:rFonts w:ascii="Roboto" w:eastAsia="Times New Roman" w:hAnsi="Roboto" w:cs="Times New Roman"/>
                <w:lang w:eastAsia="ro-RO"/>
              </w:rPr>
              <w:t xml:space="preserve"> Centrului de armonizare a legislației și versiunea finală actualizată a acestuia va fi plasată cu </w:t>
            </w:r>
            <w:r w:rsidR="00AD22F0" w:rsidRPr="00FC1EE3">
              <w:rPr>
                <w:rFonts w:ascii="Roboto" w:eastAsia="Times New Roman" w:hAnsi="Roboto" w:cs="Times New Roman"/>
                <w:lang w:eastAsia="ro-RO"/>
              </w:rPr>
              <w:t>materialele proiectului HCE</w:t>
            </w:r>
            <w:r w:rsidR="009758D6" w:rsidRPr="00FC1EE3">
              <w:rPr>
                <w:rFonts w:ascii="Roboto" w:eastAsia="Times New Roman" w:hAnsi="Roboto" w:cs="Times New Roman"/>
                <w:lang w:eastAsia="ro-RO"/>
              </w:rPr>
              <w:t xml:space="preserve"> pe pagina web a BNM - www.bnm.md, în compartimentul „Legislație”, rubrica „Transparența decizională” </w:t>
            </w:r>
            <w:r w:rsidR="00AD22F0" w:rsidRPr="00FC1EE3">
              <w:rPr>
                <w:rFonts w:ascii="Roboto" w:eastAsia="Times New Roman" w:hAnsi="Roboto" w:cs="Times New Roman"/>
                <w:lang w:eastAsia="ro-RO"/>
              </w:rPr>
              <w:t xml:space="preserve">. </w:t>
            </w:r>
          </w:p>
          <w:p w14:paraId="47D3BBBA" w14:textId="77777777" w:rsidR="00320EF8" w:rsidRPr="00FC1EE3" w:rsidRDefault="00320EF8" w:rsidP="00FC1EE3">
            <w:pPr>
              <w:spacing w:after="0" w:line="240" w:lineRule="auto"/>
              <w:jc w:val="both"/>
              <w:rPr>
                <w:rFonts w:ascii="Roboto" w:eastAsia="Times New Roman" w:hAnsi="Roboto" w:cs="Times New Roman"/>
                <w:lang w:eastAsia="ro-RO"/>
              </w:rPr>
            </w:pPr>
          </w:p>
          <w:p w14:paraId="44046913" w14:textId="0F7BC6E1" w:rsidR="00B7443C" w:rsidRPr="00FC1EE3" w:rsidRDefault="00320EF8" w:rsidP="00FC1EE3">
            <w:pPr>
              <w:spacing w:after="0" w:line="240" w:lineRule="auto"/>
              <w:jc w:val="both"/>
              <w:rPr>
                <w:rFonts w:ascii="Roboto" w:eastAsia="Times New Roman" w:hAnsi="Roboto" w:cs="Times New Roman"/>
                <w:lang w:eastAsia="ro-RO"/>
              </w:rPr>
            </w:pPr>
            <w:r w:rsidRPr="00FC1EE3">
              <w:rPr>
                <w:rFonts w:ascii="Roboto" w:eastAsia="Times New Roman" w:hAnsi="Roboto" w:cs="Times New Roman"/>
                <w:b/>
                <w:bCs/>
                <w:lang w:eastAsia="ro-RO"/>
              </w:rPr>
              <w:t>2) măsurile normative care urmăresc crearea cadrului juridic intern necesar pentru implementarea legislației UE</w:t>
            </w:r>
            <w:r w:rsidR="00186339" w:rsidRPr="00FC1EE3">
              <w:rPr>
                <w:rFonts w:ascii="Roboto" w:eastAsia="Times New Roman" w:hAnsi="Roboto" w:cs="Times New Roman"/>
                <w:b/>
                <w:bCs/>
                <w:lang w:eastAsia="ro-RO"/>
              </w:rPr>
              <w:t xml:space="preserve"> – </w:t>
            </w:r>
            <w:r w:rsidR="00186339" w:rsidRPr="00FC1EE3">
              <w:rPr>
                <w:rFonts w:ascii="Roboto" w:eastAsia="Times New Roman" w:hAnsi="Roboto" w:cs="Times New Roman"/>
                <w:lang w:eastAsia="ro-RO"/>
              </w:rPr>
              <w:t xml:space="preserve">nu sunt. </w:t>
            </w:r>
          </w:p>
          <w:p w14:paraId="45BA14E2" w14:textId="77777777" w:rsidR="00B7443C" w:rsidRPr="00FC1EE3" w:rsidRDefault="00B7443C" w:rsidP="00FC1EE3">
            <w:pPr>
              <w:spacing w:after="0" w:line="240" w:lineRule="auto"/>
              <w:jc w:val="both"/>
              <w:rPr>
                <w:rFonts w:ascii="Roboto" w:eastAsia="Times New Roman" w:hAnsi="Roboto" w:cs="Times New Roman"/>
                <w:lang w:eastAsia="ro-RO"/>
              </w:rPr>
            </w:pPr>
          </w:p>
          <w:p w14:paraId="4F085CC6" w14:textId="77777777" w:rsidR="00320EF8" w:rsidRPr="00FC1EE3" w:rsidRDefault="00320EF8" w:rsidP="00FC1EE3">
            <w:pPr>
              <w:spacing w:after="0" w:line="240" w:lineRule="auto"/>
              <w:jc w:val="both"/>
              <w:rPr>
                <w:rFonts w:ascii="Roboto" w:eastAsia="Times New Roman" w:hAnsi="Roboto" w:cs="Times New Roman"/>
                <w:lang w:eastAsia="ro-RO"/>
              </w:rPr>
            </w:pPr>
            <w:r w:rsidRPr="00FC1EE3">
              <w:rPr>
                <w:rFonts w:ascii="Roboto" w:eastAsia="Times New Roman" w:hAnsi="Roboto" w:cs="Times New Roman"/>
                <w:b/>
                <w:bCs/>
                <w:lang w:eastAsia="ro-RO"/>
              </w:rPr>
              <w:t>3) concluziile expertizei de compatibilitate</w:t>
            </w:r>
            <w:r w:rsidR="00B7443C" w:rsidRPr="00FC1EE3">
              <w:rPr>
                <w:rFonts w:ascii="Roboto" w:eastAsia="Times New Roman" w:hAnsi="Roboto" w:cs="Times New Roman"/>
                <w:b/>
                <w:bCs/>
                <w:lang w:eastAsia="ro-RO"/>
              </w:rPr>
              <w:t xml:space="preserve">: </w:t>
            </w:r>
            <w:r w:rsidR="00B7443C" w:rsidRPr="00FC1EE3">
              <w:rPr>
                <w:rFonts w:ascii="Roboto" w:eastAsia="Times New Roman" w:hAnsi="Roboto" w:cs="Times New Roman"/>
                <w:lang w:eastAsia="ro-RO"/>
              </w:rPr>
              <w:t>după recepționarea avizului Centrului de armonizare a legislație, se v</w:t>
            </w:r>
            <w:r w:rsidR="007F0FF6" w:rsidRPr="00FC1EE3">
              <w:rPr>
                <w:rFonts w:ascii="Roboto" w:eastAsia="Times New Roman" w:hAnsi="Roboto" w:cs="Times New Roman"/>
                <w:lang w:eastAsia="ro-RO"/>
              </w:rPr>
              <w:t>a suplini nota de fundamentare cu</w:t>
            </w:r>
            <w:r w:rsidR="007F0FF6" w:rsidRPr="00FC1EE3">
              <w:rPr>
                <w:rFonts w:ascii="Roboto" w:eastAsia="Times New Roman" w:hAnsi="Roboto" w:cs="Times New Roman"/>
                <w:b/>
                <w:bCs/>
                <w:lang w:eastAsia="ro-RO"/>
              </w:rPr>
              <w:t xml:space="preserve"> </w:t>
            </w:r>
            <w:r w:rsidRPr="00FC1EE3">
              <w:rPr>
                <w:rFonts w:ascii="Roboto" w:eastAsia="Times New Roman" w:hAnsi="Roboto" w:cs="Times New Roman"/>
                <w:lang w:eastAsia="ro-RO"/>
              </w:rPr>
              <w:t>concluziile expertizei de compatibilitate</w:t>
            </w:r>
            <w:r w:rsidR="007F0FF6" w:rsidRPr="00FC1EE3">
              <w:rPr>
                <w:rFonts w:ascii="Roboto" w:eastAsia="Times New Roman" w:hAnsi="Roboto" w:cs="Times New Roman"/>
                <w:lang w:eastAsia="ro-RO"/>
              </w:rPr>
              <w:t>.</w:t>
            </w:r>
            <w:r w:rsidRPr="00FC1EE3">
              <w:rPr>
                <w:rFonts w:ascii="Roboto" w:eastAsia="Times New Roman" w:hAnsi="Roboto" w:cs="Times New Roman"/>
                <w:lang w:eastAsia="ro-RO"/>
              </w:rPr>
              <w:t xml:space="preserve"> </w:t>
            </w:r>
          </w:p>
          <w:p w14:paraId="4CE7A017" w14:textId="77777777" w:rsidR="00FD696B" w:rsidRPr="00FC1EE3" w:rsidRDefault="00FD696B" w:rsidP="00FC1EE3">
            <w:pPr>
              <w:spacing w:after="0" w:line="240" w:lineRule="auto"/>
              <w:jc w:val="both"/>
              <w:rPr>
                <w:rFonts w:ascii="Roboto" w:eastAsia="Times New Roman" w:hAnsi="Roboto" w:cs="Times New Roman"/>
                <w:lang w:eastAsia="ro-RO"/>
              </w:rPr>
            </w:pPr>
          </w:p>
          <w:p w14:paraId="780B75B1" w14:textId="60F4A091" w:rsidR="00FD395D" w:rsidRPr="00FC1EE3" w:rsidRDefault="00FD395D" w:rsidP="00FC1EE3">
            <w:pPr>
              <w:spacing w:after="0" w:line="240" w:lineRule="auto"/>
              <w:jc w:val="both"/>
              <w:rPr>
                <w:rFonts w:ascii="Roboto" w:eastAsia="Times New Roman" w:hAnsi="Roboto" w:cs="Times New Roman"/>
                <w:lang w:val="ro-RO" w:eastAsia="ro-RO"/>
              </w:rPr>
            </w:pPr>
          </w:p>
        </w:tc>
      </w:tr>
      <w:tr w:rsidR="0042576A" w:rsidRPr="00FC1EE3" w14:paraId="17173F12" w14:textId="77777777" w:rsidTr="00B21F08">
        <w:tc>
          <w:tcPr>
            <w:tcW w:w="5000" w:type="pct"/>
            <w:tcBorders>
              <w:top w:val="single" w:sz="6" w:space="0" w:color="000000"/>
              <w:left w:val="single" w:sz="6" w:space="0" w:color="000000"/>
              <w:bottom w:val="single" w:sz="6" w:space="0" w:color="000000"/>
              <w:right w:val="single" w:sz="6" w:space="0" w:color="000000"/>
            </w:tcBorders>
            <w:shd w:val="clear" w:color="auto" w:fill="222A35" w:themeFill="text2" w:themeFillShade="80"/>
            <w:tcMar>
              <w:top w:w="24" w:type="dxa"/>
              <w:left w:w="48" w:type="dxa"/>
              <w:bottom w:w="24" w:type="dxa"/>
              <w:right w:w="48" w:type="dxa"/>
            </w:tcMar>
            <w:hideMark/>
          </w:tcPr>
          <w:p w14:paraId="57A95B0F" w14:textId="359C08B0" w:rsidR="0042576A" w:rsidRPr="00FC1EE3" w:rsidRDefault="0042576A" w:rsidP="00FC1EE3">
            <w:pPr>
              <w:spacing w:after="0" w:line="240" w:lineRule="auto"/>
              <w:jc w:val="both"/>
              <w:rPr>
                <w:rFonts w:ascii="Roboto" w:eastAsia="Times New Roman" w:hAnsi="Roboto" w:cs="Times New Roman"/>
                <w:lang w:val="ro-RO" w:eastAsia="ro-RO"/>
              </w:rPr>
            </w:pPr>
            <w:r w:rsidRPr="00FC1EE3">
              <w:rPr>
                <w:rFonts w:ascii="Roboto" w:eastAsia="Times New Roman" w:hAnsi="Roboto" w:cs="Times New Roman"/>
                <w:b/>
                <w:bCs/>
                <w:lang w:val="ro-RO" w:eastAsia="ro-RO"/>
              </w:rPr>
              <w:lastRenderedPageBreak/>
              <w:t xml:space="preserve">6. Avizarea </w:t>
            </w:r>
            <w:r w:rsidR="0001240D" w:rsidRPr="00FC1EE3">
              <w:rPr>
                <w:rFonts w:ascii="Roboto" w:eastAsia="Times New Roman" w:hAnsi="Roboto" w:cs="Times New Roman"/>
                <w:b/>
                <w:bCs/>
                <w:lang w:val="ro-RO" w:eastAsia="ro-RO"/>
              </w:rPr>
              <w:t>și</w:t>
            </w:r>
            <w:r w:rsidRPr="00FC1EE3">
              <w:rPr>
                <w:rFonts w:ascii="Roboto" w:eastAsia="Times New Roman" w:hAnsi="Roboto" w:cs="Times New Roman"/>
                <w:b/>
                <w:bCs/>
                <w:lang w:val="ro-RO" w:eastAsia="ro-RO"/>
              </w:rPr>
              <w:t xml:space="preserve"> consultarea publică a proiectului actului normativ</w:t>
            </w:r>
          </w:p>
        </w:tc>
      </w:tr>
      <w:tr w:rsidR="0042576A" w:rsidRPr="00FC1EE3" w14:paraId="04958FBE" w14:textId="77777777" w:rsidTr="00801EFC">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3EFC8" w14:textId="7DFA0318" w:rsidR="0042576A" w:rsidRPr="00FC1EE3" w:rsidRDefault="008226CD" w:rsidP="00FC1EE3">
            <w:pPr>
              <w:spacing w:after="0" w:line="240" w:lineRule="auto"/>
              <w:jc w:val="both"/>
              <w:rPr>
                <w:rFonts w:ascii="Roboto" w:eastAsia="Times New Roman" w:hAnsi="Roboto" w:cs="Times New Roman"/>
                <w:lang w:val="ro-RO" w:eastAsia="ro-RO"/>
              </w:rPr>
            </w:pPr>
            <w:r w:rsidRPr="00FC1EE3">
              <w:rPr>
                <w:rFonts w:ascii="Roboto" w:eastAsia="Times New Roman" w:hAnsi="Roboto" w:cs="Times New Roman"/>
                <w:lang w:val="ro-RO" w:eastAsia="ro-RO"/>
              </w:rPr>
              <w:t xml:space="preserve">În scopul respectării prevederilor </w:t>
            </w:r>
            <w:r w:rsidR="00FC1EE3" w:rsidRPr="00FC1EE3">
              <w:rPr>
                <w:rFonts w:ascii="Roboto" w:eastAsia="Times New Roman" w:hAnsi="Roboto" w:cs="Times New Roman"/>
                <w:lang w:val="ro-RO" w:eastAsia="ro-RO"/>
              </w:rPr>
              <w:t xml:space="preserve">Legii nr. 100/2017 cu privire la actele normative, </w:t>
            </w:r>
            <w:r w:rsidRPr="00FC1EE3">
              <w:rPr>
                <w:rFonts w:ascii="Roboto" w:eastAsia="Times New Roman" w:hAnsi="Roboto" w:cs="Times New Roman"/>
                <w:lang w:val="ro-RO" w:eastAsia="ro-RO"/>
              </w:rPr>
              <w:t>Legii nr.</w:t>
            </w:r>
            <w:r w:rsidR="006374AD" w:rsidRPr="00FC1EE3">
              <w:rPr>
                <w:rFonts w:ascii="Roboto" w:eastAsia="Times New Roman" w:hAnsi="Roboto" w:cs="Times New Roman"/>
                <w:lang w:val="ro-RO" w:eastAsia="ro-RO"/>
              </w:rPr>
              <w:t xml:space="preserve"> </w:t>
            </w:r>
            <w:r w:rsidRPr="00FC1EE3">
              <w:rPr>
                <w:rFonts w:ascii="Roboto" w:eastAsia="Times New Roman" w:hAnsi="Roboto" w:cs="Times New Roman"/>
                <w:lang w:val="ro-RO" w:eastAsia="ro-RO"/>
              </w:rPr>
              <w:t>239/2008 privind transparența în procesul decizional și ale Regulamentului privind asigurarea transparenței în procesul de elaborare și adoptare a deciziilor Băncii Naționale a Moldovei (aprobat prin HCE al BNM nr.</w:t>
            </w:r>
            <w:r w:rsidR="006374AD" w:rsidRPr="00FC1EE3">
              <w:rPr>
                <w:rFonts w:ascii="Roboto" w:eastAsia="Times New Roman" w:hAnsi="Roboto" w:cs="Times New Roman"/>
                <w:lang w:val="ro-RO" w:eastAsia="ro-RO"/>
              </w:rPr>
              <w:t xml:space="preserve"> </w:t>
            </w:r>
            <w:r w:rsidRPr="00FC1EE3">
              <w:rPr>
                <w:rFonts w:ascii="Roboto" w:eastAsia="Times New Roman" w:hAnsi="Roboto" w:cs="Times New Roman"/>
                <w:lang w:val="ro-RO" w:eastAsia="ro-RO"/>
              </w:rPr>
              <w:t xml:space="preserve">346/2024), proiectul hotărârii este supus </w:t>
            </w:r>
            <w:r w:rsidR="00BF3525" w:rsidRPr="00FC1EE3">
              <w:rPr>
                <w:rFonts w:ascii="Roboto" w:eastAsia="Times New Roman" w:hAnsi="Roboto" w:cs="Times New Roman"/>
                <w:lang w:val="ro-RO" w:eastAsia="ro-RO"/>
              </w:rPr>
              <w:t xml:space="preserve">avizării și </w:t>
            </w:r>
            <w:r w:rsidRPr="00FC1EE3">
              <w:rPr>
                <w:rFonts w:ascii="Roboto" w:eastAsia="Times New Roman" w:hAnsi="Roboto" w:cs="Times New Roman"/>
                <w:lang w:val="ro-RO" w:eastAsia="ro-RO"/>
              </w:rPr>
              <w:t xml:space="preserve">consultării publice, fiind plasat pe pagina web a BNM - www.bnm.md, în compartimentul „Legislație”, rubrica „Transparența decizională”. </w:t>
            </w:r>
          </w:p>
          <w:p w14:paraId="71DB493D" w14:textId="60E94FC9" w:rsidR="00FD696B" w:rsidRPr="00FC1EE3" w:rsidRDefault="00FD696B" w:rsidP="00FC1EE3">
            <w:pPr>
              <w:spacing w:after="0" w:line="240" w:lineRule="auto"/>
              <w:jc w:val="both"/>
              <w:rPr>
                <w:rFonts w:ascii="Roboto" w:eastAsia="Times New Roman" w:hAnsi="Roboto" w:cs="Times New Roman"/>
                <w:lang w:val="ro-RO" w:eastAsia="ro-RO"/>
              </w:rPr>
            </w:pPr>
          </w:p>
        </w:tc>
      </w:tr>
      <w:tr w:rsidR="0042576A" w:rsidRPr="00FC1EE3" w14:paraId="48B49928" w14:textId="77777777" w:rsidTr="00B21F08">
        <w:tc>
          <w:tcPr>
            <w:tcW w:w="5000" w:type="pct"/>
            <w:tcBorders>
              <w:top w:val="single" w:sz="6" w:space="0" w:color="000000"/>
              <w:left w:val="single" w:sz="6" w:space="0" w:color="000000"/>
              <w:bottom w:val="single" w:sz="6" w:space="0" w:color="000000"/>
              <w:right w:val="single" w:sz="6" w:space="0" w:color="000000"/>
            </w:tcBorders>
            <w:shd w:val="clear" w:color="auto" w:fill="222A35" w:themeFill="text2" w:themeFillShade="80"/>
            <w:tcMar>
              <w:top w:w="24" w:type="dxa"/>
              <w:left w:w="48" w:type="dxa"/>
              <w:bottom w:w="24" w:type="dxa"/>
              <w:right w:w="48" w:type="dxa"/>
            </w:tcMar>
            <w:hideMark/>
          </w:tcPr>
          <w:p w14:paraId="78B812C2" w14:textId="77777777" w:rsidR="0042576A" w:rsidRPr="00FC1EE3" w:rsidRDefault="0042576A" w:rsidP="00FC1EE3">
            <w:pPr>
              <w:spacing w:after="0" w:line="240" w:lineRule="auto"/>
              <w:jc w:val="both"/>
              <w:rPr>
                <w:rFonts w:ascii="Roboto" w:eastAsia="Times New Roman" w:hAnsi="Roboto" w:cs="Times New Roman"/>
                <w:lang w:val="ro-RO" w:eastAsia="ro-RO"/>
              </w:rPr>
            </w:pPr>
            <w:r w:rsidRPr="00FC1EE3">
              <w:rPr>
                <w:rFonts w:ascii="Roboto" w:eastAsia="Times New Roman" w:hAnsi="Roboto" w:cs="Times New Roman"/>
                <w:b/>
                <w:bCs/>
                <w:lang w:val="ro-RO" w:eastAsia="ro-RO"/>
              </w:rPr>
              <w:t>7. Concluziile expertizelor</w:t>
            </w:r>
          </w:p>
        </w:tc>
      </w:tr>
      <w:tr w:rsidR="0042576A" w:rsidRPr="00FC1EE3" w14:paraId="503496A1" w14:textId="77777777" w:rsidTr="00801EFC">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AE2EA" w14:textId="7F707E9F" w:rsidR="00FD696B" w:rsidRPr="00FC1EE3" w:rsidRDefault="008226CD" w:rsidP="00FC1EE3">
            <w:pPr>
              <w:spacing w:after="0" w:line="240" w:lineRule="auto"/>
              <w:jc w:val="both"/>
              <w:rPr>
                <w:rFonts w:ascii="Roboto" w:eastAsia="Times New Roman" w:hAnsi="Roboto" w:cs="Times New Roman"/>
                <w:lang w:val="ro-RO" w:eastAsia="ro-RO"/>
              </w:rPr>
            </w:pPr>
            <w:r w:rsidRPr="00FC1EE3">
              <w:rPr>
                <w:rFonts w:ascii="Roboto" w:eastAsia="Times New Roman" w:hAnsi="Roboto" w:cs="Times New Roman"/>
                <w:lang w:val="ro-RO" w:eastAsia="ro-RO"/>
              </w:rPr>
              <w:t>Potrivit art.37 alin. (5) din Legea nr.100/2017, actele normative emise de Banca Națională a Moldovei nu se supun expertizei juridice a Ministerului Justiției. Totodată, luând în considerare prevederile art.11 alin. (3</w:t>
            </w:r>
            <w:r w:rsidRPr="00FC1EE3">
              <w:rPr>
                <w:rFonts w:ascii="Roboto" w:eastAsia="Times New Roman" w:hAnsi="Roboto" w:cs="Times New Roman"/>
                <w:vertAlign w:val="superscript"/>
                <w:lang w:val="ro-RO" w:eastAsia="ro-RO"/>
              </w:rPr>
              <w:t>3</w:t>
            </w:r>
            <w:r w:rsidRPr="00FC1EE3">
              <w:rPr>
                <w:rFonts w:ascii="Roboto" w:eastAsia="Times New Roman" w:hAnsi="Roboto" w:cs="Times New Roman"/>
                <w:lang w:val="ro-RO" w:eastAsia="ro-RO"/>
              </w:rPr>
              <w:t xml:space="preserve">) din Legea nr.548/1995 cu privire la Banca Națională a Moldovei, </w:t>
            </w:r>
            <w:r w:rsidR="008F371A" w:rsidRPr="00FC1EE3">
              <w:rPr>
                <w:rFonts w:ascii="Roboto" w:eastAsia="Times New Roman" w:hAnsi="Roboto" w:cs="Times New Roman"/>
                <w:lang w:val="ro-RO" w:eastAsia="ro-RO"/>
              </w:rPr>
              <w:t>BNM va solicita</w:t>
            </w:r>
            <w:r w:rsidRPr="00FC1EE3">
              <w:rPr>
                <w:rFonts w:ascii="Roboto" w:eastAsia="Times New Roman" w:hAnsi="Roboto" w:cs="Times New Roman"/>
                <w:lang w:val="ro-RO" w:eastAsia="ro-RO"/>
              </w:rPr>
              <w:t xml:space="preserve"> opinia cu caracter consultativ </w:t>
            </w:r>
            <w:r w:rsidR="008F371A" w:rsidRPr="00FC1EE3">
              <w:rPr>
                <w:rFonts w:ascii="Roboto" w:eastAsia="Times New Roman" w:hAnsi="Roboto" w:cs="Times New Roman"/>
                <w:lang w:val="ro-RO" w:eastAsia="ro-RO"/>
              </w:rPr>
              <w:t>a</w:t>
            </w:r>
            <w:r w:rsidRPr="00FC1EE3">
              <w:rPr>
                <w:rFonts w:ascii="Roboto" w:eastAsia="Times New Roman" w:hAnsi="Roboto" w:cs="Times New Roman"/>
                <w:lang w:val="ro-RO" w:eastAsia="ro-RO"/>
              </w:rPr>
              <w:t xml:space="preserve"> Ministerului Justiției.</w:t>
            </w:r>
          </w:p>
          <w:p w14:paraId="1C49E671" w14:textId="77777777" w:rsidR="00804DF7" w:rsidRPr="00FC1EE3" w:rsidRDefault="00804DF7" w:rsidP="00FC1EE3">
            <w:pPr>
              <w:spacing w:after="0" w:line="240" w:lineRule="auto"/>
              <w:jc w:val="both"/>
              <w:rPr>
                <w:rFonts w:ascii="Roboto" w:eastAsia="Times New Roman" w:hAnsi="Roboto" w:cs="Times New Roman"/>
                <w:lang w:val="ro-RO" w:eastAsia="ro-RO"/>
              </w:rPr>
            </w:pPr>
            <w:r w:rsidRPr="00FC1EE3">
              <w:rPr>
                <w:rFonts w:ascii="Roboto" w:eastAsia="Times New Roman" w:hAnsi="Roboto" w:cs="Times New Roman"/>
                <w:lang w:val="ro-RO" w:eastAsia="ro-RO"/>
              </w:rPr>
              <w:t>Conform art. 36 alin.(5) din Legea nr.100/2017, proiectul hotărârii HCE a fost supus expertizei anticorupție în cadrul Băncii Naționale a Moldovei, în urma căreia factori și riscuri de corupție nu au fost identifica</w:t>
            </w:r>
            <w:r w:rsidR="0001240D" w:rsidRPr="00FC1EE3">
              <w:rPr>
                <w:rFonts w:ascii="Roboto" w:eastAsia="Times New Roman" w:hAnsi="Roboto" w:cs="Times New Roman"/>
                <w:lang w:val="ro-RO" w:eastAsia="ro-RO"/>
              </w:rPr>
              <w:t>ți</w:t>
            </w:r>
            <w:r w:rsidRPr="00FC1EE3">
              <w:rPr>
                <w:rFonts w:ascii="Roboto" w:eastAsia="Times New Roman" w:hAnsi="Roboto" w:cs="Times New Roman"/>
                <w:lang w:val="ro-RO" w:eastAsia="ro-RO"/>
              </w:rPr>
              <w:t>.</w:t>
            </w:r>
          </w:p>
          <w:p w14:paraId="536476F6" w14:textId="6CF5715D" w:rsidR="00FD696B" w:rsidRPr="00FC1EE3" w:rsidRDefault="00FD696B" w:rsidP="00FC1EE3">
            <w:pPr>
              <w:spacing w:after="0" w:line="240" w:lineRule="auto"/>
              <w:jc w:val="both"/>
              <w:rPr>
                <w:rFonts w:ascii="Roboto" w:eastAsia="Times New Roman" w:hAnsi="Roboto" w:cs="Times New Roman"/>
                <w:lang w:val="ro-RO" w:eastAsia="ro-RO"/>
              </w:rPr>
            </w:pPr>
          </w:p>
        </w:tc>
      </w:tr>
      <w:tr w:rsidR="0042576A" w:rsidRPr="00FC1EE3" w14:paraId="2C0AB069" w14:textId="77777777" w:rsidTr="00B21F08">
        <w:tc>
          <w:tcPr>
            <w:tcW w:w="5000" w:type="pct"/>
            <w:tcBorders>
              <w:top w:val="single" w:sz="6" w:space="0" w:color="000000"/>
              <w:left w:val="single" w:sz="6" w:space="0" w:color="000000"/>
              <w:bottom w:val="single" w:sz="6" w:space="0" w:color="000000"/>
              <w:right w:val="single" w:sz="6" w:space="0" w:color="000000"/>
            </w:tcBorders>
            <w:shd w:val="clear" w:color="auto" w:fill="222A35" w:themeFill="text2" w:themeFillShade="80"/>
            <w:tcMar>
              <w:top w:w="24" w:type="dxa"/>
              <w:left w:w="48" w:type="dxa"/>
              <w:bottom w:w="24" w:type="dxa"/>
              <w:right w:w="48" w:type="dxa"/>
            </w:tcMar>
            <w:hideMark/>
          </w:tcPr>
          <w:p w14:paraId="0C838179" w14:textId="77777777" w:rsidR="0042576A" w:rsidRPr="00FC1EE3" w:rsidRDefault="0042576A" w:rsidP="00FC1EE3">
            <w:pPr>
              <w:spacing w:after="0" w:line="240" w:lineRule="auto"/>
              <w:jc w:val="both"/>
              <w:rPr>
                <w:rFonts w:ascii="Roboto" w:eastAsia="Times New Roman" w:hAnsi="Roboto" w:cs="Times New Roman"/>
                <w:lang w:val="ro-RO" w:eastAsia="ro-RO"/>
              </w:rPr>
            </w:pPr>
            <w:r w:rsidRPr="00FC1EE3">
              <w:rPr>
                <w:rFonts w:ascii="Roboto" w:eastAsia="Times New Roman" w:hAnsi="Roboto" w:cs="Times New Roman"/>
                <w:b/>
                <w:bCs/>
                <w:lang w:val="ro-RO" w:eastAsia="ro-RO"/>
              </w:rPr>
              <w:t>8. Modul de încorporare a actului în cadrul normativ existent</w:t>
            </w:r>
          </w:p>
        </w:tc>
      </w:tr>
      <w:tr w:rsidR="0042576A" w:rsidRPr="00FC1EE3" w14:paraId="7A5A6DFA" w14:textId="77777777" w:rsidTr="00801EFC">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DFA84" w14:textId="77777777" w:rsidR="0042576A" w:rsidRPr="00FC1EE3" w:rsidRDefault="008226CD" w:rsidP="00FC1EE3">
            <w:pPr>
              <w:spacing w:after="0" w:line="240" w:lineRule="auto"/>
              <w:jc w:val="both"/>
              <w:rPr>
                <w:rFonts w:ascii="Roboto" w:eastAsia="Times New Roman" w:hAnsi="Roboto" w:cs="Times New Roman"/>
                <w:lang w:val="ro-RO" w:eastAsia="ro-RO"/>
              </w:rPr>
            </w:pPr>
            <w:r w:rsidRPr="00FC1EE3">
              <w:rPr>
                <w:rFonts w:ascii="Roboto" w:eastAsia="Times New Roman" w:hAnsi="Roboto" w:cs="Times New Roman"/>
                <w:lang w:val="ro-RO" w:eastAsia="ro-RO"/>
              </w:rPr>
              <w:t xml:space="preserve">Modificările înaintate prin intermediul proiectului HCE nu afectează concepția generală </w:t>
            </w:r>
            <w:r w:rsidR="008F371A" w:rsidRPr="00FC1EE3">
              <w:rPr>
                <w:rFonts w:ascii="Roboto" w:eastAsia="Times New Roman" w:hAnsi="Roboto" w:cs="Times New Roman"/>
                <w:lang w:val="ro-RO" w:eastAsia="ro-RO"/>
              </w:rPr>
              <w:t xml:space="preserve">și </w:t>
            </w:r>
            <w:r w:rsidRPr="00FC1EE3">
              <w:rPr>
                <w:rFonts w:ascii="Roboto" w:eastAsia="Times New Roman" w:hAnsi="Roboto" w:cs="Times New Roman"/>
                <w:lang w:val="ro-RO" w:eastAsia="ro-RO"/>
              </w:rPr>
              <w:t>caracterul unitar al</w:t>
            </w:r>
            <w:r w:rsidR="008F371A" w:rsidRPr="00FC1EE3">
              <w:rPr>
                <w:rFonts w:ascii="Roboto" w:hAnsi="Roboto"/>
              </w:rPr>
              <w:t xml:space="preserve"> </w:t>
            </w:r>
            <w:r w:rsidR="008F371A" w:rsidRPr="00FC1EE3">
              <w:rPr>
                <w:rFonts w:ascii="Roboto" w:eastAsia="Times New Roman" w:hAnsi="Roboto" w:cs="Times New Roman"/>
                <w:lang w:val="ro-RO" w:eastAsia="ro-RO"/>
              </w:rPr>
              <w:t>Regulament</w:t>
            </w:r>
            <w:r w:rsidR="0082740B" w:rsidRPr="00FC1EE3">
              <w:rPr>
                <w:rFonts w:ascii="Roboto" w:eastAsia="Times New Roman" w:hAnsi="Roboto" w:cs="Times New Roman"/>
                <w:lang w:val="ro-RO" w:eastAsia="ro-RO"/>
              </w:rPr>
              <w:t xml:space="preserve">elor </w:t>
            </w:r>
            <w:r w:rsidR="008F371A" w:rsidRPr="00FC1EE3">
              <w:rPr>
                <w:rFonts w:ascii="Roboto" w:eastAsia="Times New Roman" w:hAnsi="Roboto" w:cs="Times New Roman"/>
                <w:lang w:val="ro-RO" w:eastAsia="ro-RO"/>
              </w:rPr>
              <w:t xml:space="preserve">BNM nr. </w:t>
            </w:r>
            <w:r w:rsidR="00B7443C" w:rsidRPr="00FC1EE3">
              <w:rPr>
                <w:rFonts w:ascii="Roboto" w:eastAsia="Times New Roman" w:hAnsi="Roboto" w:cs="Times New Roman"/>
                <w:lang w:val="ro-RO" w:eastAsia="ro-RO"/>
              </w:rPr>
              <w:t>20</w:t>
            </w:r>
            <w:r w:rsidR="00B95A5A" w:rsidRPr="00FC1EE3">
              <w:rPr>
                <w:rFonts w:ascii="Roboto" w:eastAsia="Times New Roman" w:hAnsi="Roboto" w:cs="Times New Roman"/>
                <w:lang w:val="ro-RO" w:eastAsia="ro-RO"/>
              </w:rPr>
              <w:t>0</w:t>
            </w:r>
            <w:r w:rsidR="00B7443C" w:rsidRPr="00FC1EE3">
              <w:rPr>
                <w:rFonts w:ascii="Roboto" w:eastAsia="Times New Roman" w:hAnsi="Roboto" w:cs="Times New Roman"/>
                <w:lang w:val="ro-RO" w:eastAsia="ro-RO"/>
              </w:rPr>
              <w:t>/2018</w:t>
            </w:r>
            <w:r w:rsidR="008F371A" w:rsidRPr="00FC1EE3">
              <w:rPr>
                <w:rFonts w:ascii="Roboto" w:eastAsia="Times New Roman" w:hAnsi="Roboto" w:cs="Times New Roman"/>
                <w:lang w:val="ro-RO" w:eastAsia="ro-RO"/>
              </w:rPr>
              <w:t xml:space="preserve"> și</w:t>
            </w:r>
            <w:r w:rsidR="00B95A5A" w:rsidRPr="00FC1EE3">
              <w:rPr>
                <w:rFonts w:ascii="Roboto" w:eastAsia="Times New Roman" w:hAnsi="Roboto" w:cs="Times New Roman"/>
                <w:lang w:val="ro-RO" w:eastAsia="ro-RO"/>
              </w:rPr>
              <w:t xml:space="preserve"> nr. 202/2018</w:t>
            </w:r>
            <w:r w:rsidR="008F371A" w:rsidRPr="00FC1EE3">
              <w:rPr>
                <w:rFonts w:ascii="Roboto" w:hAnsi="Roboto"/>
              </w:rPr>
              <w:t xml:space="preserve"> </w:t>
            </w:r>
            <w:r w:rsidR="0082740B" w:rsidRPr="00FC1EE3">
              <w:rPr>
                <w:rFonts w:ascii="Roboto" w:hAnsi="Roboto"/>
              </w:rPr>
              <w:t xml:space="preserve">și </w:t>
            </w:r>
            <w:r w:rsidR="00503860" w:rsidRPr="00FC1EE3">
              <w:rPr>
                <w:rFonts w:ascii="Roboto" w:eastAsia="Times New Roman" w:hAnsi="Roboto" w:cs="Times New Roman"/>
                <w:lang w:val="ro-RO" w:eastAsia="ro-RO"/>
              </w:rPr>
              <w:t>corespund</w:t>
            </w:r>
            <w:r w:rsidR="008F371A" w:rsidRPr="00FC1EE3">
              <w:rPr>
                <w:rFonts w:ascii="Roboto" w:eastAsia="Times New Roman" w:hAnsi="Roboto" w:cs="Times New Roman"/>
                <w:lang w:val="ro-RO" w:eastAsia="ro-RO"/>
              </w:rPr>
              <w:t xml:space="preserve"> prevederil</w:t>
            </w:r>
            <w:r w:rsidR="00503860" w:rsidRPr="00FC1EE3">
              <w:rPr>
                <w:rFonts w:ascii="Roboto" w:eastAsia="Times New Roman" w:hAnsi="Roboto" w:cs="Times New Roman"/>
                <w:lang w:val="ro-RO" w:eastAsia="ro-RO"/>
              </w:rPr>
              <w:t>or</w:t>
            </w:r>
            <w:r w:rsidR="008F371A" w:rsidRPr="00FC1EE3">
              <w:rPr>
                <w:rFonts w:ascii="Roboto" w:eastAsia="Times New Roman" w:hAnsi="Roboto" w:cs="Times New Roman"/>
                <w:lang w:val="ro-RO" w:eastAsia="ro-RO"/>
              </w:rPr>
              <w:t xml:space="preserve"> Legii nr. 308/2017 cu privire la prevenirea și combaterea spălării banilor și finanțării terorismului</w:t>
            </w:r>
            <w:r w:rsidRPr="00FC1EE3">
              <w:rPr>
                <w:rFonts w:ascii="Roboto" w:eastAsia="Times New Roman" w:hAnsi="Roboto" w:cs="Times New Roman"/>
                <w:lang w:val="ro-RO" w:eastAsia="ro-RO"/>
              </w:rPr>
              <w:t>.</w:t>
            </w:r>
          </w:p>
          <w:p w14:paraId="311E817D" w14:textId="46BBB548" w:rsidR="00FD696B" w:rsidRPr="00FC1EE3" w:rsidRDefault="00FD696B" w:rsidP="00FC1EE3">
            <w:pPr>
              <w:spacing w:after="0" w:line="240" w:lineRule="auto"/>
              <w:jc w:val="both"/>
              <w:rPr>
                <w:rFonts w:ascii="Roboto" w:eastAsia="Times New Roman" w:hAnsi="Roboto" w:cs="Times New Roman"/>
                <w:lang w:val="ro-RO" w:eastAsia="ro-RO"/>
              </w:rPr>
            </w:pPr>
          </w:p>
        </w:tc>
      </w:tr>
      <w:tr w:rsidR="0042576A" w:rsidRPr="00FC1EE3" w14:paraId="1D43ED6F" w14:textId="77777777" w:rsidTr="00B21F08">
        <w:tc>
          <w:tcPr>
            <w:tcW w:w="5000" w:type="pct"/>
            <w:tcBorders>
              <w:top w:val="single" w:sz="6" w:space="0" w:color="000000"/>
              <w:left w:val="single" w:sz="6" w:space="0" w:color="000000"/>
              <w:bottom w:val="single" w:sz="6" w:space="0" w:color="000000"/>
              <w:right w:val="single" w:sz="6" w:space="0" w:color="000000"/>
            </w:tcBorders>
            <w:shd w:val="clear" w:color="auto" w:fill="222A35" w:themeFill="text2" w:themeFillShade="80"/>
            <w:tcMar>
              <w:top w:w="24" w:type="dxa"/>
              <w:left w:w="48" w:type="dxa"/>
              <w:bottom w:w="24" w:type="dxa"/>
              <w:right w:w="48" w:type="dxa"/>
            </w:tcMar>
            <w:hideMark/>
          </w:tcPr>
          <w:p w14:paraId="7A39FA4A" w14:textId="77777777" w:rsidR="0042576A" w:rsidRPr="00FC1EE3" w:rsidRDefault="0042576A" w:rsidP="00FC1EE3">
            <w:pPr>
              <w:spacing w:after="0" w:line="240" w:lineRule="auto"/>
              <w:jc w:val="both"/>
              <w:rPr>
                <w:rFonts w:ascii="Roboto" w:eastAsia="Times New Roman" w:hAnsi="Roboto" w:cs="Times New Roman"/>
                <w:lang w:val="ro-RO" w:eastAsia="ro-RO"/>
              </w:rPr>
            </w:pPr>
            <w:r w:rsidRPr="00FC1EE3">
              <w:rPr>
                <w:rFonts w:ascii="Roboto" w:eastAsia="Times New Roman" w:hAnsi="Roboto" w:cs="Times New Roman"/>
                <w:b/>
                <w:bCs/>
                <w:lang w:val="ro-RO" w:eastAsia="ro-RO"/>
              </w:rPr>
              <w:t>9. Măsurile necesare pentru implementarea prevederilor proiectului actului normativ</w:t>
            </w:r>
          </w:p>
        </w:tc>
      </w:tr>
      <w:tr w:rsidR="0042576A" w:rsidRPr="00FC1EE3" w14:paraId="449CAAAD" w14:textId="77777777" w:rsidTr="00801EFC">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21A2E" w14:textId="5FF2F3E3" w:rsidR="00FC1EE3" w:rsidRPr="00FC1EE3" w:rsidRDefault="0082740B" w:rsidP="00FC1EE3">
            <w:pPr>
              <w:spacing w:line="240" w:lineRule="auto"/>
              <w:jc w:val="both"/>
              <w:rPr>
                <w:rFonts w:ascii="Roboto" w:hAnsi="Roboto"/>
                <w:lang w:val="ro-RO"/>
              </w:rPr>
            </w:pPr>
            <w:proofErr w:type="spellStart"/>
            <w:r w:rsidRPr="00FC1EE3">
              <w:rPr>
                <w:rFonts w:ascii="Roboto" w:hAnsi="Roboto"/>
                <w:lang w:val="en-US"/>
              </w:rPr>
              <w:t>Prezenta</w:t>
            </w:r>
            <w:proofErr w:type="spellEnd"/>
            <w:r w:rsidRPr="00FC1EE3">
              <w:rPr>
                <w:rFonts w:ascii="Roboto" w:hAnsi="Roboto"/>
                <w:lang w:val="en-US"/>
              </w:rPr>
              <w:t xml:space="preserve"> </w:t>
            </w:r>
            <w:proofErr w:type="spellStart"/>
            <w:r w:rsidRPr="00FC1EE3">
              <w:rPr>
                <w:rFonts w:ascii="Roboto" w:hAnsi="Roboto"/>
                <w:lang w:val="en-US"/>
              </w:rPr>
              <w:t>hotărâre</w:t>
            </w:r>
            <w:proofErr w:type="spellEnd"/>
            <w:r w:rsidRPr="00FC1EE3">
              <w:rPr>
                <w:rFonts w:ascii="Roboto" w:hAnsi="Roboto"/>
                <w:lang w:val="en-US"/>
              </w:rPr>
              <w:t xml:space="preserve"> </w:t>
            </w:r>
            <w:r w:rsidR="00B21F08" w:rsidRPr="00FC1EE3">
              <w:rPr>
                <w:rFonts w:ascii="Roboto" w:hAnsi="Roboto"/>
                <w:lang w:val="ro-RO"/>
              </w:rPr>
              <w:t xml:space="preserve">intră în vigoare peste </w:t>
            </w:r>
            <w:r w:rsidR="00FC1EE3">
              <w:rPr>
                <w:rFonts w:ascii="Roboto" w:hAnsi="Roboto"/>
                <w:lang w:val="ro-RO"/>
              </w:rPr>
              <w:t>3 luni</w:t>
            </w:r>
            <w:r w:rsidR="00B21F08" w:rsidRPr="00FC1EE3">
              <w:rPr>
                <w:rFonts w:ascii="Roboto" w:hAnsi="Roboto"/>
                <w:lang w:val="ro-RO"/>
              </w:rPr>
              <w:t xml:space="preserve"> de la data publicării în Monitorul Oficial al Republicii Moldova. </w:t>
            </w:r>
            <w:r w:rsidR="00EA781D" w:rsidRPr="00FC1EE3">
              <w:rPr>
                <w:rFonts w:ascii="Roboto" w:hAnsi="Roboto"/>
              </w:rPr>
              <w:t>Termen</w:t>
            </w:r>
            <w:r w:rsidR="00B21F08" w:rsidRPr="00FC1EE3">
              <w:rPr>
                <w:rFonts w:ascii="Roboto" w:hAnsi="Roboto"/>
              </w:rPr>
              <w:t>ul</w:t>
            </w:r>
            <w:r w:rsidR="00EA781D" w:rsidRPr="00FC1EE3">
              <w:rPr>
                <w:rFonts w:ascii="Roboto" w:hAnsi="Roboto"/>
              </w:rPr>
              <w:t xml:space="preserve"> </w:t>
            </w:r>
            <w:r w:rsidR="00B21F08" w:rsidRPr="00FC1EE3">
              <w:rPr>
                <w:rFonts w:ascii="Roboto" w:hAnsi="Roboto"/>
              </w:rPr>
              <w:t>se încadrează</w:t>
            </w:r>
            <w:r w:rsidR="00EA781D" w:rsidRPr="00FC1EE3">
              <w:rPr>
                <w:rFonts w:ascii="Roboto" w:hAnsi="Roboto"/>
              </w:rPr>
              <w:t xml:space="preserve"> </w:t>
            </w:r>
            <w:r w:rsidR="00B21F08" w:rsidRPr="00FC1EE3">
              <w:rPr>
                <w:rFonts w:ascii="Roboto" w:hAnsi="Roboto"/>
              </w:rPr>
              <w:t xml:space="preserve">în termenul </w:t>
            </w:r>
            <w:r w:rsidR="00EA781D" w:rsidRPr="00FC1EE3">
              <w:rPr>
                <w:rFonts w:ascii="Roboto" w:hAnsi="Roboto"/>
              </w:rPr>
              <w:t xml:space="preserve"> indicat în </w:t>
            </w:r>
            <w:r w:rsidR="002F5AB2" w:rsidRPr="00FC1EE3">
              <w:rPr>
                <w:rFonts w:ascii="Roboto" w:hAnsi="Roboto"/>
              </w:rPr>
              <w:t xml:space="preserve">poziția de negociere a Republicii Moldova – UE, prezentată la 25 iunie 2024, </w:t>
            </w:r>
            <w:r w:rsidR="00EE288C" w:rsidRPr="00FC1EE3">
              <w:rPr>
                <w:rFonts w:ascii="Roboto" w:hAnsi="Roboto"/>
              </w:rPr>
              <w:t xml:space="preserve">și </w:t>
            </w:r>
            <w:r w:rsidR="002F5AB2" w:rsidRPr="00FC1EE3">
              <w:rPr>
                <w:rFonts w:ascii="Roboto" w:hAnsi="Roboto"/>
              </w:rPr>
              <w:t>inclus</w:t>
            </w:r>
            <w:r w:rsidR="00EE288C" w:rsidRPr="00FC1EE3">
              <w:rPr>
                <w:rFonts w:ascii="Roboto" w:hAnsi="Roboto"/>
              </w:rPr>
              <w:t>e</w:t>
            </w:r>
            <w:r w:rsidR="002F5AB2" w:rsidRPr="00FC1EE3">
              <w:rPr>
                <w:rFonts w:ascii="Roboto" w:hAnsi="Roboto"/>
              </w:rPr>
              <w:t xml:space="preserve"> în Programul Național de Aderare a Republicii Moldova la Uniunea Europeană 2025-2029.</w:t>
            </w:r>
            <w:r w:rsidR="00FC1EE3">
              <w:rPr>
                <w:rFonts w:ascii="Roboto" w:hAnsi="Roboto"/>
              </w:rPr>
              <w:t xml:space="preserve"> </w:t>
            </w:r>
          </w:p>
          <w:p w14:paraId="51F87B3D" w14:textId="61E8FB96" w:rsidR="00FD696B" w:rsidRPr="00FC1EE3" w:rsidRDefault="00FD696B" w:rsidP="00FC1EE3">
            <w:pPr>
              <w:spacing w:line="240" w:lineRule="auto"/>
              <w:jc w:val="both"/>
              <w:rPr>
                <w:rFonts w:ascii="Roboto" w:hAnsi="Roboto"/>
                <w:lang w:val="ro-RO"/>
              </w:rPr>
            </w:pPr>
          </w:p>
        </w:tc>
      </w:tr>
      <w:tr w:rsidR="0042576A" w:rsidRPr="00FC1EE3" w14:paraId="190A8F44" w14:textId="77777777" w:rsidTr="00801EFC">
        <w:tc>
          <w:tcPr>
            <w:tcW w:w="5000" w:type="pct"/>
            <w:tcBorders>
              <w:top w:val="single" w:sz="6" w:space="0" w:color="000000"/>
              <w:left w:val="nil"/>
              <w:bottom w:val="nil"/>
              <w:right w:val="nil"/>
            </w:tcBorders>
            <w:tcMar>
              <w:top w:w="24" w:type="dxa"/>
              <w:left w:w="48" w:type="dxa"/>
              <w:bottom w:w="24" w:type="dxa"/>
              <w:right w:w="48" w:type="dxa"/>
            </w:tcMar>
            <w:hideMark/>
          </w:tcPr>
          <w:p w14:paraId="494C8EAE" w14:textId="11BF81C7" w:rsidR="0042576A" w:rsidRPr="00FC1EE3" w:rsidRDefault="0042576A" w:rsidP="00FC1EE3">
            <w:pPr>
              <w:spacing w:after="0" w:line="240" w:lineRule="auto"/>
              <w:rPr>
                <w:rFonts w:ascii="Roboto" w:eastAsia="Times New Roman" w:hAnsi="Roboto" w:cs="Times New Roman"/>
                <w:lang w:val="ro-RO" w:eastAsia="ro-RO"/>
              </w:rPr>
            </w:pPr>
          </w:p>
        </w:tc>
      </w:tr>
    </w:tbl>
    <w:p w14:paraId="168F6B6C" w14:textId="6CEBBE86" w:rsidR="0042576A" w:rsidRPr="00FC1EE3" w:rsidRDefault="0042576A" w:rsidP="00FC1EE3">
      <w:pPr>
        <w:spacing w:after="0" w:line="240" w:lineRule="auto"/>
        <w:jc w:val="both"/>
        <w:rPr>
          <w:rFonts w:ascii="Roboto" w:hAnsi="Roboto" w:cs="Times New Roman"/>
        </w:rPr>
      </w:pPr>
    </w:p>
    <w:sectPr w:rsidR="0042576A" w:rsidRPr="00FC1EE3" w:rsidSect="00FC1EE3">
      <w:footerReference w:type="default" r:id="rId8"/>
      <w:pgSz w:w="11906" w:h="16838" w:code="9"/>
      <w:pgMar w:top="709" w:right="851" w:bottom="1560" w:left="1560" w:header="709" w:footer="5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C4DE0" w14:textId="77777777" w:rsidR="00DD5487" w:rsidRDefault="00DD5487" w:rsidP="00475F2F">
      <w:pPr>
        <w:spacing w:after="0" w:line="240" w:lineRule="auto"/>
      </w:pPr>
      <w:r>
        <w:separator/>
      </w:r>
    </w:p>
  </w:endnote>
  <w:endnote w:type="continuationSeparator" w:id="0">
    <w:p w14:paraId="17319FD5" w14:textId="77777777" w:rsidR="00DD5487" w:rsidRDefault="00DD5487" w:rsidP="00475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ermianSerifTypeface">
    <w:panose1 w:val="02000000000000000000"/>
    <w:charset w:val="CC"/>
    <w:family w:val="auto"/>
    <w:pitch w:val="variable"/>
    <w:sig w:usb0="A000022F" w:usb1="4000A46A" w:usb2="00000000" w:usb3="00000000" w:csb0="00000007"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Roboto">
    <w:panose1 w:val="02000000000000000000"/>
    <w:charset w:val="CC"/>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533011"/>
      <w:docPartObj>
        <w:docPartGallery w:val="Page Numbers (Bottom of Page)"/>
        <w:docPartUnique/>
      </w:docPartObj>
    </w:sdtPr>
    <w:sdtEndPr>
      <w:rPr>
        <w:noProof/>
      </w:rPr>
    </w:sdtEndPr>
    <w:sdtContent>
      <w:p w14:paraId="43CC5CB1" w14:textId="429985B5" w:rsidR="00FD395D" w:rsidRDefault="00FD395D" w:rsidP="002F5A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23101" w14:textId="77777777" w:rsidR="00DD5487" w:rsidRDefault="00DD5487" w:rsidP="00475F2F">
      <w:pPr>
        <w:spacing w:after="0" w:line="240" w:lineRule="auto"/>
      </w:pPr>
      <w:r>
        <w:separator/>
      </w:r>
    </w:p>
  </w:footnote>
  <w:footnote w:type="continuationSeparator" w:id="0">
    <w:p w14:paraId="3404F086" w14:textId="77777777" w:rsidR="00DD5487" w:rsidRDefault="00DD5487" w:rsidP="00475F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26098"/>
    <w:multiLevelType w:val="hybridMultilevel"/>
    <w:tmpl w:val="F872E6CA"/>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1BBF1D25"/>
    <w:multiLevelType w:val="hybridMultilevel"/>
    <w:tmpl w:val="D8B06A2C"/>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1EF95BE4"/>
    <w:multiLevelType w:val="hybridMultilevel"/>
    <w:tmpl w:val="96886420"/>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2017556E"/>
    <w:multiLevelType w:val="hybridMultilevel"/>
    <w:tmpl w:val="7CCACBAE"/>
    <w:lvl w:ilvl="0" w:tplc="08180017">
      <w:start w:val="1"/>
      <w:numFmt w:val="lowerLetter"/>
      <w:lvlText w:val="%1)"/>
      <w:lvlJc w:val="left"/>
      <w:pPr>
        <w:ind w:left="720" w:hanging="360"/>
      </w:pPr>
      <w:rPr>
        <w:rFonts w:hint="default"/>
      </w:rPr>
    </w:lvl>
    <w:lvl w:ilvl="1" w:tplc="74207A10">
      <w:numFmt w:val="bullet"/>
      <w:lvlText w:val="•"/>
      <w:lvlJc w:val="left"/>
      <w:pPr>
        <w:ind w:left="1785" w:hanging="705"/>
      </w:pPr>
      <w:rPr>
        <w:rFonts w:ascii="PermianSerifTypeface" w:eastAsiaTheme="minorHAnsi" w:hAnsi="PermianSerifTypeface" w:cstheme="minorBidi"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372C6286"/>
    <w:multiLevelType w:val="hybridMultilevel"/>
    <w:tmpl w:val="93D856C4"/>
    <w:lvl w:ilvl="0" w:tplc="0F4E6F8A">
      <w:start w:val="1"/>
      <w:numFmt w:val="decimal"/>
      <w:lvlText w:val="%1."/>
      <w:lvlJc w:val="left"/>
      <w:pPr>
        <w:ind w:left="1068" w:hanging="360"/>
      </w:pPr>
      <w:rPr>
        <w:rFonts w:hint="default"/>
      </w:rPr>
    </w:lvl>
    <w:lvl w:ilvl="1" w:tplc="08180019" w:tentative="1">
      <w:start w:val="1"/>
      <w:numFmt w:val="lowerLetter"/>
      <w:lvlText w:val="%2."/>
      <w:lvlJc w:val="left"/>
      <w:pPr>
        <w:ind w:left="1788" w:hanging="360"/>
      </w:pPr>
    </w:lvl>
    <w:lvl w:ilvl="2" w:tplc="0818001B" w:tentative="1">
      <w:start w:val="1"/>
      <w:numFmt w:val="lowerRoman"/>
      <w:lvlText w:val="%3."/>
      <w:lvlJc w:val="right"/>
      <w:pPr>
        <w:ind w:left="2508" w:hanging="180"/>
      </w:pPr>
    </w:lvl>
    <w:lvl w:ilvl="3" w:tplc="0818000F" w:tentative="1">
      <w:start w:val="1"/>
      <w:numFmt w:val="decimal"/>
      <w:lvlText w:val="%4."/>
      <w:lvlJc w:val="left"/>
      <w:pPr>
        <w:ind w:left="3228" w:hanging="360"/>
      </w:pPr>
    </w:lvl>
    <w:lvl w:ilvl="4" w:tplc="08180019" w:tentative="1">
      <w:start w:val="1"/>
      <w:numFmt w:val="lowerLetter"/>
      <w:lvlText w:val="%5."/>
      <w:lvlJc w:val="left"/>
      <w:pPr>
        <w:ind w:left="3948" w:hanging="360"/>
      </w:pPr>
    </w:lvl>
    <w:lvl w:ilvl="5" w:tplc="0818001B" w:tentative="1">
      <w:start w:val="1"/>
      <w:numFmt w:val="lowerRoman"/>
      <w:lvlText w:val="%6."/>
      <w:lvlJc w:val="right"/>
      <w:pPr>
        <w:ind w:left="4668" w:hanging="180"/>
      </w:pPr>
    </w:lvl>
    <w:lvl w:ilvl="6" w:tplc="0818000F" w:tentative="1">
      <w:start w:val="1"/>
      <w:numFmt w:val="decimal"/>
      <w:lvlText w:val="%7."/>
      <w:lvlJc w:val="left"/>
      <w:pPr>
        <w:ind w:left="5388" w:hanging="360"/>
      </w:pPr>
    </w:lvl>
    <w:lvl w:ilvl="7" w:tplc="08180019" w:tentative="1">
      <w:start w:val="1"/>
      <w:numFmt w:val="lowerLetter"/>
      <w:lvlText w:val="%8."/>
      <w:lvlJc w:val="left"/>
      <w:pPr>
        <w:ind w:left="6108" w:hanging="360"/>
      </w:pPr>
    </w:lvl>
    <w:lvl w:ilvl="8" w:tplc="0818001B" w:tentative="1">
      <w:start w:val="1"/>
      <w:numFmt w:val="lowerRoman"/>
      <w:lvlText w:val="%9."/>
      <w:lvlJc w:val="right"/>
      <w:pPr>
        <w:ind w:left="6828" w:hanging="180"/>
      </w:pPr>
    </w:lvl>
  </w:abstractNum>
  <w:abstractNum w:abstractNumId="5" w15:restartNumberingAfterBreak="0">
    <w:nsid w:val="39B81569"/>
    <w:multiLevelType w:val="hybridMultilevel"/>
    <w:tmpl w:val="B11044AC"/>
    <w:lvl w:ilvl="0" w:tplc="99200E02">
      <w:start w:val="1"/>
      <w:numFmt w:val="decimal"/>
      <w:lvlText w:val="%1."/>
      <w:lvlJc w:val="left"/>
      <w:pPr>
        <w:ind w:left="360" w:hanging="360"/>
      </w:pPr>
      <w:rPr>
        <w:rFonts w:hint="default"/>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6" w15:restartNumberingAfterBreak="0">
    <w:nsid w:val="41C96C67"/>
    <w:multiLevelType w:val="hybridMultilevel"/>
    <w:tmpl w:val="FAA29C58"/>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567F1873"/>
    <w:multiLevelType w:val="hybridMultilevel"/>
    <w:tmpl w:val="1400AF5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65152AB5"/>
    <w:multiLevelType w:val="hybridMultilevel"/>
    <w:tmpl w:val="46D23E9A"/>
    <w:lvl w:ilvl="0" w:tplc="FFFFFFFF">
      <w:start w:val="1"/>
      <w:numFmt w:val="lowerLetter"/>
      <w:lvlText w:val="%1)"/>
      <w:lvlJc w:val="left"/>
      <w:pPr>
        <w:ind w:left="720" w:hanging="360"/>
      </w:pPr>
    </w:lvl>
    <w:lvl w:ilvl="1" w:tplc="08180017">
      <w:start w:val="1"/>
      <w:numFmt w:val="lowerLetter"/>
      <w:lvlText w:val="%2)"/>
      <w:lvlJc w:val="left"/>
      <w:pPr>
        <w:ind w:left="720" w:hanging="360"/>
      </w:pPr>
    </w:lvl>
    <w:lvl w:ilvl="2" w:tplc="287EE234">
      <w:start w:val="5"/>
      <w:numFmt w:val="bullet"/>
      <w:lvlText w:val="-"/>
      <w:lvlJc w:val="left"/>
      <w:pPr>
        <w:ind w:left="2340" w:hanging="360"/>
      </w:pPr>
      <w:rPr>
        <w:rFonts w:ascii="PermianSerifTypeface" w:eastAsia="Times New Roman" w:hAnsi="PermianSerifTypeface"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699557F"/>
    <w:multiLevelType w:val="hybridMultilevel"/>
    <w:tmpl w:val="9CD41C5A"/>
    <w:lvl w:ilvl="0" w:tplc="ED0EBCC0">
      <w:start w:val="3"/>
      <w:numFmt w:val="bullet"/>
      <w:lvlText w:val="-"/>
      <w:lvlJc w:val="left"/>
      <w:pPr>
        <w:ind w:left="720" w:hanging="360"/>
      </w:pPr>
      <w:rPr>
        <w:rFonts w:ascii="PermianSerifTypeface" w:eastAsia="Times New Roman" w:hAnsi="PermianSerifTypeface"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0" w15:restartNumberingAfterBreak="0">
    <w:nsid w:val="7C023A98"/>
    <w:multiLevelType w:val="hybridMultilevel"/>
    <w:tmpl w:val="EDAA299E"/>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1309280496">
    <w:abstractNumId w:val="5"/>
  </w:num>
  <w:num w:numId="2" w16cid:durableId="1571385757">
    <w:abstractNumId w:val="9"/>
  </w:num>
  <w:num w:numId="3" w16cid:durableId="2139104191">
    <w:abstractNumId w:val="7"/>
  </w:num>
  <w:num w:numId="4" w16cid:durableId="1828548245">
    <w:abstractNumId w:val="4"/>
  </w:num>
  <w:num w:numId="5" w16cid:durableId="2111731463">
    <w:abstractNumId w:val="3"/>
  </w:num>
  <w:num w:numId="6" w16cid:durableId="403919201">
    <w:abstractNumId w:val="2"/>
  </w:num>
  <w:num w:numId="7" w16cid:durableId="693194460">
    <w:abstractNumId w:val="0"/>
  </w:num>
  <w:num w:numId="8" w16cid:durableId="346716607">
    <w:abstractNumId w:val="8"/>
  </w:num>
  <w:num w:numId="9" w16cid:durableId="1058626409">
    <w:abstractNumId w:val="1"/>
  </w:num>
  <w:num w:numId="10" w16cid:durableId="400106878">
    <w:abstractNumId w:val="6"/>
  </w:num>
  <w:num w:numId="11" w16cid:durableId="15482966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BEC"/>
    <w:rsid w:val="0001240D"/>
    <w:rsid w:val="00017312"/>
    <w:rsid w:val="00043208"/>
    <w:rsid w:val="00053D59"/>
    <w:rsid w:val="00070393"/>
    <w:rsid w:val="00070C91"/>
    <w:rsid w:val="00096258"/>
    <w:rsid w:val="000C26D3"/>
    <w:rsid w:val="000E5D35"/>
    <w:rsid w:val="000F69C7"/>
    <w:rsid w:val="001102AF"/>
    <w:rsid w:val="00115E84"/>
    <w:rsid w:val="00156163"/>
    <w:rsid w:val="00165598"/>
    <w:rsid w:val="00170E8C"/>
    <w:rsid w:val="00186339"/>
    <w:rsid w:val="0019302C"/>
    <w:rsid w:val="001B51B8"/>
    <w:rsid w:val="001C3E64"/>
    <w:rsid w:val="001D6851"/>
    <w:rsid w:val="00201F7E"/>
    <w:rsid w:val="002128F0"/>
    <w:rsid w:val="00213AC7"/>
    <w:rsid w:val="00214A75"/>
    <w:rsid w:val="0028798B"/>
    <w:rsid w:val="00290D33"/>
    <w:rsid w:val="002B185F"/>
    <w:rsid w:val="002B4D45"/>
    <w:rsid w:val="002B5429"/>
    <w:rsid w:val="002F5AB2"/>
    <w:rsid w:val="002F6F0A"/>
    <w:rsid w:val="002F7C44"/>
    <w:rsid w:val="00317E68"/>
    <w:rsid w:val="00320EF8"/>
    <w:rsid w:val="003276F8"/>
    <w:rsid w:val="0033595F"/>
    <w:rsid w:val="00344F41"/>
    <w:rsid w:val="003469F2"/>
    <w:rsid w:val="00363204"/>
    <w:rsid w:val="00390FE1"/>
    <w:rsid w:val="0039158F"/>
    <w:rsid w:val="003A3F65"/>
    <w:rsid w:val="003C6157"/>
    <w:rsid w:val="003C76F2"/>
    <w:rsid w:val="003D69B7"/>
    <w:rsid w:val="003E1BEC"/>
    <w:rsid w:val="0042550D"/>
    <w:rsid w:val="0042576A"/>
    <w:rsid w:val="0044506E"/>
    <w:rsid w:val="00460059"/>
    <w:rsid w:val="00474C6B"/>
    <w:rsid w:val="00475F2F"/>
    <w:rsid w:val="004A3B54"/>
    <w:rsid w:val="004A7469"/>
    <w:rsid w:val="004A7FCE"/>
    <w:rsid w:val="004F72B6"/>
    <w:rsid w:val="00500C44"/>
    <w:rsid w:val="00503860"/>
    <w:rsid w:val="0050619B"/>
    <w:rsid w:val="00506650"/>
    <w:rsid w:val="005271A2"/>
    <w:rsid w:val="00544083"/>
    <w:rsid w:val="005511D5"/>
    <w:rsid w:val="00580E00"/>
    <w:rsid w:val="00587BFF"/>
    <w:rsid w:val="005B0F4E"/>
    <w:rsid w:val="005B606F"/>
    <w:rsid w:val="005C2BD8"/>
    <w:rsid w:val="00611635"/>
    <w:rsid w:val="006146C8"/>
    <w:rsid w:val="006155E1"/>
    <w:rsid w:val="006374AD"/>
    <w:rsid w:val="00665D82"/>
    <w:rsid w:val="00680D67"/>
    <w:rsid w:val="00692011"/>
    <w:rsid w:val="00694BD0"/>
    <w:rsid w:val="00696C64"/>
    <w:rsid w:val="006B34A7"/>
    <w:rsid w:val="006C0B77"/>
    <w:rsid w:val="006E1ED8"/>
    <w:rsid w:val="006F485F"/>
    <w:rsid w:val="00711C25"/>
    <w:rsid w:val="00715655"/>
    <w:rsid w:val="00744466"/>
    <w:rsid w:val="00746BA1"/>
    <w:rsid w:val="0076074A"/>
    <w:rsid w:val="007661FD"/>
    <w:rsid w:val="00781FEB"/>
    <w:rsid w:val="00785988"/>
    <w:rsid w:val="007C6E3E"/>
    <w:rsid w:val="007F0FF6"/>
    <w:rsid w:val="00801EFC"/>
    <w:rsid w:val="00804DF7"/>
    <w:rsid w:val="00813CF8"/>
    <w:rsid w:val="00815E29"/>
    <w:rsid w:val="00820983"/>
    <w:rsid w:val="008226CD"/>
    <w:rsid w:val="008242FF"/>
    <w:rsid w:val="0082740B"/>
    <w:rsid w:val="00845846"/>
    <w:rsid w:val="00851388"/>
    <w:rsid w:val="0087072C"/>
    <w:rsid w:val="00870751"/>
    <w:rsid w:val="00877D2A"/>
    <w:rsid w:val="00882F22"/>
    <w:rsid w:val="008A0E04"/>
    <w:rsid w:val="008B667D"/>
    <w:rsid w:val="008E6289"/>
    <w:rsid w:val="008F1C01"/>
    <w:rsid w:val="008F371A"/>
    <w:rsid w:val="00910B19"/>
    <w:rsid w:val="00922C48"/>
    <w:rsid w:val="009340B2"/>
    <w:rsid w:val="0095515C"/>
    <w:rsid w:val="00971D8A"/>
    <w:rsid w:val="009758D6"/>
    <w:rsid w:val="009C0F7A"/>
    <w:rsid w:val="00A04CCF"/>
    <w:rsid w:val="00A42C1C"/>
    <w:rsid w:val="00A4450C"/>
    <w:rsid w:val="00A94CED"/>
    <w:rsid w:val="00AA29F5"/>
    <w:rsid w:val="00AA2AC0"/>
    <w:rsid w:val="00AC7E42"/>
    <w:rsid w:val="00AD22F0"/>
    <w:rsid w:val="00B0598D"/>
    <w:rsid w:val="00B21F08"/>
    <w:rsid w:val="00B45086"/>
    <w:rsid w:val="00B621B0"/>
    <w:rsid w:val="00B7443C"/>
    <w:rsid w:val="00B84305"/>
    <w:rsid w:val="00B915B7"/>
    <w:rsid w:val="00B95A5A"/>
    <w:rsid w:val="00BA482F"/>
    <w:rsid w:val="00BB595C"/>
    <w:rsid w:val="00BF3525"/>
    <w:rsid w:val="00C11673"/>
    <w:rsid w:val="00C25AC1"/>
    <w:rsid w:val="00C260E2"/>
    <w:rsid w:val="00C416BD"/>
    <w:rsid w:val="00C529B6"/>
    <w:rsid w:val="00C778FB"/>
    <w:rsid w:val="00CC19E9"/>
    <w:rsid w:val="00CE1DB1"/>
    <w:rsid w:val="00CF2681"/>
    <w:rsid w:val="00D30F35"/>
    <w:rsid w:val="00D6657F"/>
    <w:rsid w:val="00D765AB"/>
    <w:rsid w:val="00D84B74"/>
    <w:rsid w:val="00D86481"/>
    <w:rsid w:val="00D90B23"/>
    <w:rsid w:val="00DC184B"/>
    <w:rsid w:val="00DC4B7C"/>
    <w:rsid w:val="00DD5487"/>
    <w:rsid w:val="00E1227D"/>
    <w:rsid w:val="00E13804"/>
    <w:rsid w:val="00E31666"/>
    <w:rsid w:val="00E54398"/>
    <w:rsid w:val="00E546AD"/>
    <w:rsid w:val="00E66BEC"/>
    <w:rsid w:val="00E71A85"/>
    <w:rsid w:val="00E83125"/>
    <w:rsid w:val="00E83B8E"/>
    <w:rsid w:val="00E86443"/>
    <w:rsid w:val="00E87F36"/>
    <w:rsid w:val="00EA59DF"/>
    <w:rsid w:val="00EA781D"/>
    <w:rsid w:val="00EC5DD1"/>
    <w:rsid w:val="00EC5DDD"/>
    <w:rsid w:val="00EE1D1B"/>
    <w:rsid w:val="00EE288C"/>
    <w:rsid w:val="00EE4070"/>
    <w:rsid w:val="00F013D8"/>
    <w:rsid w:val="00F04E3E"/>
    <w:rsid w:val="00F12C76"/>
    <w:rsid w:val="00F56713"/>
    <w:rsid w:val="00F72C87"/>
    <w:rsid w:val="00F73B9B"/>
    <w:rsid w:val="00F844DC"/>
    <w:rsid w:val="00F93ACB"/>
    <w:rsid w:val="00FA6248"/>
    <w:rsid w:val="00FB0618"/>
    <w:rsid w:val="00FC1EE3"/>
    <w:rsid w:val="00FD395D"/>
    <w:rsid w:val="00FD696B"/>
    <w:rsid w:val="00FE1287"/>
    <w:rsid w:val="00FF09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A0856"/>
  <w15:chartTrackingRefBased/>
  <w15:docId w15:val="{3DC4F50F-A86A-4C33-9FF8-1589C53C7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E3E"/>
    <w:rPr>
      <w:kern w:val="0"/>
      <w:lang w:val="ro-MD"/>
      <w14:ligatures w14:val="none"/>
    </w:rPr>
  </w:style>
  <w:style w:type="paragraph" w:styleId="Heading1">
    <w:name w:val="heading 1"/>
    <w:basedOn w:val="Normal"/>
    <w:next w:val="Normal"/>
    <w:link w:val="Heading1Char"/>
    <w:uiPriority w:val="9"/>
    <w:qFormat/>
    <w:rsid w:val="003E1BE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E1BE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E1BEC"/>
    <w:pPr>
      <w:keepNext/>
      <w:keepLines/>
      <w:spacing w:before="160" w:after="80"/>
      <w:outlineLvl w:val="2"/>
    </w:pPr>
    <w:rPr>
      <w:rFonts w:eastAsiaTheme="majorEastAsia"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3E1BE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E1BE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E1B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B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B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B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BE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E1BE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E1BE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E1BEC"/>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3E1BEC"/>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3E1BEC"/>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3E1BEC"/>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3E1BEC"/>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3E1BEC"/>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3E1B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BEC"/>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3E1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BEC"/>
    <w:pPr>
      <w:spacing w:before="160"/>
      <w:jc w:val="center"/>
    </w:pPr>
    <w:rPr>
      <w:i/>
      <w:iCs/>
      <w:color w:val="404040" w:themeColor="text1" w:themeTint="BF"/>
    </w:rPr>
  </w:style>
  <w:style w:type="character" w:customStyle="1" w:styleId="QuoteChar">
    <w:name w:val="Quote Char"/>
    <w:basedOn w:val="DefaultParagraphFont"/>
    <w:link w:val="Quote"/>
    <w:uiPriority w:val="29"/>
    <w:rsid w:val="003E1BEC"/>
    <w:rPr>
      <w:rFonts w:ascii="Times New Roman" w:hAnsi="Times New Roman"/>
      <w:i/>
      <w:iCs/>
      <w:color w:val="404040" w:themeColor="text1" w:themeTint="BF"/>
      <w:sz w:val="28"/>
    </w:rPr>
  </w:style>
  <w:style w:type="paragraph" w:styleId="ListParagraph">
    <w:name w:val="List Paragraph"/>
    <w:basedOn w:val="Normal"/>
    <w:uiPriority w:val="34"/>
    <w:qFormat/>
    <w:rsid w:val="003E1BEC"/>
    <w:pPr>
      <w:ind w:left="720"/>
      <w:contextualSpacing/>
    </w:pPr>
  </w:style>
  <w:style w:type="character" w:styleId="IntenseEmphasis">
    <w:name w:val="Intense Emphasis"/>
    <w:basedOn w:val="DefaultParagraphFont"/>
    <w:uiPriority w:val="21"/>
    <w:qFormat/>
    <w:rsid w:val="003E1BEC"/>
    <w:rPr>
      <w:i/>
      <w:iCs/>
      <w:color w:val="2E74B5" w:themeColor="accent1" w:themeShade="BF"/>
    </w:rPr>
  </w:style>
  <w:style w:type="paragraph" w:styleId="IntenseQuote">
    <w:name w:val="Intense Quote"/>
    <w:basedOn w:val="Normal"/>
    <w:next w:val="Normal"/>
    <w:link w:val="IntenseQuoteChar"/>
    <w:uiPriority w:val="30"/>
    <w:qFormat/>
    <w:rsid w:val="003E1BE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E1BEC"/>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3E1BEC"/>
    <w:rPr>
      <w:b/>
      <w:bCs/>
      <w:smallCaps/>
      <w:color w:val="2E74B5" w:themeColor="accent1" w:themeShade="BF"/>
      <w:spacing w:val="5"/>
    </w:rPr>
  </w:style>
  <w:style w:type="paragraph" w:styleId="Header">
    <w:name w:val="header"/>
    <w:basedOn w:val="Normal"/>
    <w:link w:val="HeaderChar"/>
    <w:uiPriority w:val="99"/>
    <w:unhideWhenUsed/>
    <w:rsid w:val="00475F2F"/>
    <w:pPr>
      <w:tabs>
        <w:tab w:val="center" w:pos="4677"/>
        <w:tab w:val="right" w:pos="9355"/>
      </w:tabs>
      <w:spacing w:after="0" w:line="240" w:lineRule="auto"/>
    </w:pPr>
  </w:style>
  <w:style w:type="character" w:customStyle="1" w:styleId="HeaderChar">
    <w:name w:val="Header Char"/>
    <w:basedOn w:val="DefaultParagraphFont"/>
    <w:link w:val="Header"/>
    <w:uiPriority w:val="99"/>
    <w:rsid w:val="00475F2F"/>
    <w:rPr>
      <w:kern w:val="0"/>
      <w:lang w:val="ro-MD"/>
      <w14:ligatures w14:val="none"/>
    </w:rPr>
  </w:style>
  <w:style w:type="paragraph" w:styleId="Footer">
    <w:name w:val="footer"/>
    <w:basedOn w:val="Normal"/>
    <w:link w:val="FooterChar"/>
    <w:uiPriority w:val="99"/>
    <w:unhideWhenUsed/>
    <w:rsid w:val="00475F2F"/>
    <w:pPr>
      <w:tabs>
        <w:tab w:val="center" w:pos="4677"/>
        <w:tab w:val="right" w:pos="9355"/>
      </w:tabs>
      <w:spacing w:after="0" w:line="240" w:lineRule="auto"/>
    </w:pPr>
  </w:style>
  <w:style w:type="character" w:customStyle="1" w:styleId="FooterChar">
    <w:name w:val="Footer Char"/>
    <w:basedOn w:val="DefaultParagraphFont"/>
    <w:link w:val="Footer"/>
    <w:uiPriority w:val="99"/>
    <w:rsid w:val="00475F2F"/>
    <w:rPr>
      <w:kern w:val="0"/>
      <w:lang w:val="ro-MD"/>
      <w14:ligatures w14:val="none"/>
    </w:rPr>
  </w:style>
  <w:style w:type="paragraph" w:styleId="Revision">
    <w:name w:val="Revision"/>
    <w:hidden/>
    <w:uiPriority w:val="99"/>
    <w:semiHidden/>
    <w:rsid w:val="002B4D45"/>
    <w:pPr>
      <w:spacing w:after="0" w:line="240" w:lineRule="auto"/>
    </w:pPr>
    <w:rPr>
      <w:kern w:val="0"/>
      <w:lang w:val="ro-MD"/>
      <w14:ligatures w14:val="none"/>
    </w:rPr>
  </w:style>
  <w:style w:type="character" w:styleId="CommentReference">
    <w:name w:val="annotation reference"/>
    <w:basedOn w:val="DefaultParagraphFont"/>
    <w:uiPriority w:val="99"/>
    <w:semiHidden/>
    <w:unhideWhenUsed/>
    <w:rsid w:val="005511D5"/>
    <w:rPr>
      <w:sz w:val="16"/>
      <w:szCs w:val="16"/>
    </w:rPr>
  </w:style>
  <w:style w:type="paragraph" w:styleId="CommentText">
    <w:name w:val="annotation text"/>
    <w:basedOn w:val="Normal"/>
    <w:link w:val="CommentTextChar"/>
    <w:uiPriority w:val="99"/>
    <w:unhideWhenUsed/>
    <w:rsid w:val="005511D5"/>
    <w:pPr>
      <w:spacing w:line="240" w:lineRule="auto"/>
    </w:pPr>
    <w:rPr>
      <w:sz w:val="20"/>
      <w:szCs w:val="20"/>
    </w:rPr>
  </w:style>
  <w:style w:type="character" w:customStyle="1" w:styleId="CommentTextChar">
    <w:name w:val="Comment Text Char"/>
    <w:basedOn w:val="DefaultParagraphFont"/>
    <w:link w:val="CommentText"/>
    <w:uiPriority w:val="99"/>
    <w:rsid w:val="005511D5"/>
    <w:rPr>
      <w:kern w:val="0"/>
      <w:sz w:val="20"/>
      <w:szCs w:val="20"/>
      <w:lang w:val="ro-MD"/>
      <w14:ligatures w14:val="none"/>
    </w:rPr>
  </w:style>
  <w:style w:type="paragraph" w:styleId="CommentSubject">
    <w:name w:val="annotation subject"/>
    <w:basedOn w:val="CommentText"/>
    <w:next w:val="CommentText"/>
    <w:link w:val="CommentSubjectChar"/>
    <w:uiPriority w:val="99"/>
    <w:semiHidden/>
    <w:unhideWhenUsed/>
    <w:rsid w:val="005511D5"/>
    <w:rPr>
      <w:b/>
      <w:bCs/>
    </w:rPr>
  </w:style>
  <w:style w:type="character" w:customStyle="1" w:styleId="CommentSubjectChar">
    <w:name w:val="Comment Subject Char"/>
    <w:basedOn w:val="CommentTextChar"/>
    <w:link w:val="CommentSubject"/>
    <w:uiPriority w:val="99"/>
    <w:semiHidden/>
    <w:rsid w:val="005511D5"/>
    <w:rPr>
      <w:b/>
      <w:bCs/>
      <w:kern w:val="0"/>
      <w:sz w:val="20"/>
      <w:szCs w:val="20"/>
      <w:lang w:val="ro-M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394192">
      <w:bodyDiv w:val="1"/>
      <w:marLeft w:val="0"/>
      <w:marRight w:val="0"/>
      <w:marTop w:val="0"/>
      <w:marBottom w:val="0"/>
      <w:divBdr>
        <w:top w:val="none" w:sz="0" w:space="0" w:color="auto"/>
        <w:left w:val="none" w:sz="0" w:space="0" w:color="auto"/>
        <w:bottom w:val="none" w:sz="0" w:space="0" w:color="auto"/>
        <w:right w:val="none" w:sz="0" w:space="0" w:color="auto"/>
      </w:divBdr>
    </w:div>
    <w:div w:id="745567241">
      <w:bodyDiv w:val="1"/>
      <w:marLeft w:val="0"/>
      <w:marRight w:val="0"/>
      <w:marTop w:val="0"/>
      <w:marBottom w:val="0"/>
      <w:divBdr>
        <w:top w:val="none" w:sz="0" w:space="0" w:color="auto"/>
        <w:left w:val="none" w:sz="0" w:space="0" w:color="auto"/>
        <w:bottom w:val="none" w:sz="0" w:space="0" w:color="auto"/>
        <w:right w:val="none" w:sz="0" w:space="0" w:color="auto"/>
      </w:divBdr>
    </w:div>
    <w:div w:id="1161963252">
      <w:bodyDiv w:val="1"/>
      <w:marLeft w:val="0"/>
      <w:marRight w:val="0"/>
      <w:marTop w:val="0"/>
      <w:marBottom w:val="0"/>
      <w:divBdr>
        <w:top w:val="none" w:sz="0" w:space="0" w:color="auto"/>
        <w:left w:val="none" w:sz="0" w:space="0" w:color="auto"/>
        <w:bottom w:val="none" w:sz="0" w:space="0" w:color="auto"/>
        <w:right w:val="none" w:sz="0" w:space="0" w:color="auto"/>
      </w:divBdr>
    </w:div>
    <w:div w:id="1615672965">
      <w:bodyDiv w:val="1"/>
      <w:marLeft w:val="0"/>
      <w:marRight w:val="0"/>
      <w:marTop w:val="0"/>
      <w:marBottom w:val="0"/>
      <w:divBdr>
        <w:top w:val="none" w:sz="0" w:space="0" w:color="auto"/>
        <w:left w:val="none" w:sz="0" w:space="0" w:color="auto"/>
        <w:bottom w:val="none" w:sz="0" w:space="0" w:color="auto"/>
        <w:right w:val="none" w:sz="0" w:space="0" w:color="auto"/>
      </w:divBdr>
    </w:div>
    <w:div w:id="180619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98E3F-DE22-4E58-85B4-999A787F6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2105</Words>
  <Characters>12653</Characters>
  <Application>Microsoft Office Word</Application>
  <DocSecurity>0</DocSecurity>
  <Lines>210</Lines>
  <Paragraphs>71</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2026-05-12T07:23:00Z</dcterms:created>
  <cp:lastPrinted>2024-08-23T08:16:00Z</cp:lastPrinted>
  <dcterms:modified xsi:type="dcterms:W3CDTF">2026-05-14T08:17:00Z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c57b7cdd-6c63-420f-b620-d11c9b93bb84</vt:lpwstr>
  </property>
  <property fmtid="{D5CDD505-2E9C-101B-9397-08002B2CF9AE}" pid="3" name="Clasificare">
    <vt:lpwstr>NONE</vt:lpwstr>
  </property>
  <property fmtid="{D5CDD505-2E9C-101B-9397-08002B2CF9AE}" pid="4" name="MSIP_Label_38962dcf-d39f-4edc-a396-338a56ba9170_Enabled">
    <vt:lpwstr>true</vt:lpwstr>
  </property>
  <property fmtid="{D5CDD505-2E9C-101B-9397-08002B2CF9AE}" pid="5" name="MSIP_Label_38962dcf-d39f-4edc-a396-338a56ba9170_SetDate">
    <vt:lpwstr>2024-12-27T07:53:26Z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efe788f7-f200-4fc4-863c-61fe799e08f9</vt:lpwstr>
  </property>
  <property fmtid="{D5CDD505-2E9C-101B-9397-08002B2CF9AE}" pid="10" name="MSIP_Label_38962dcf-d39f-4edc-a396-338a56ba9170_ContentBits">
    <vt:lpwstr>0</vt:lpwstr>
  </property>
</Properties>
</file>